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38" w:rsidRDefault="003F6A21">
      <w:pPr>
        <w:pStyle w:val="Heading1"/>
        <w:rPr>
          <w:rFonts w:ascii="Arial" w:eastAsia="Arial" w:hAnsi="Arial" w:cs="Arial"/>
        </w:rPr>
      </w:pPr>
      <w:r>
        <w:rPr>
          <w:rFonts w:ascii="Arial" w:eastAsia="Arial" w:hAnsi="Arial" w:cs="Arial"/>
        </w:rPr>
        <w:t>Pupil premium strategy statement</w:t>
      </w:r>
    </w:p>
    <w:p w:rsidR="00837038" w:rsidRDefault="003F6A21">
      <w:pPr>
        <w:pStyle w:val="Heading2"/>
        <w:rPr>
          <w:rFonts w:ascii="Arial" w:eastAsia="Arial" w:hAnsi="Arial" w:cs="Arial"/>
          <w:b w:val="0"/>
          <w:color w:val="000000"/>
          <w:sz w:val="22"/>
          <w:szCs w:val="22"/>
        </w:rPr>
      </w:pPr>
      <w:r>
        <w:rPr>
          <w:rFonts w:ascii="Arial" w:eastAsia="Arial" w:hAnsi="Arial" w:cs="Arial"/>
          <w:b w:val="0"/>
          <w:color w:val="000000"/>
          <w:sz w:val="22"/>
          <w:szCs w:val="22"/>
        </w:rPr>
        <w:t xml:space="preserve">This statement details our school’s use of pupil premium (and recovery premium for the 2021 to 2022 academic year) funding to help improve the attainment of our disadvantaged students. </w:t>
      </w:r>
    </w:p>
    <w:p w:rsidR="00837038" w:rsidRDefault="003F6A21">
      <w:pPr>
        <w:pStyle w:val="Heading2"/>
        <w:spacing w:before="240"/>
        <w:rPr>
          <w:rFonts w:ascii="Arial" w:eastAsia="Arial" w:hAnsi="Arial" w:cs="Arial"/>
          <w:b w:val="0"/>
          <w:color w:val="000000"/>
          <w:sz w:val="22"/>
          <w:szCs w:val="22"/>
        </w:rPr>
      </w:pPr>
      <w:r>
        <w:rPr>
          <w:rFonts w:ascii="Arial" w:eastAsia="Arial" w:hAnsi="Arial" w:cs="Arial"/>
          <w:b w:val="0"/>
          <w:color w:val="000000"/>
          <w:sz w:val="22"/>
          <w:szCs w:val="22"/>
        </w:rPr>
        <w:t xml:space="preserve">It outlines our pupil premium strategy, how we intend to spend the funding in this academic year and the effect that last year’s spending of pupil premium had within our school. </w:t>
      </w:r>
    </w:p>
    <w:p w:rsidR="00837038" w:rsidRDefault="003F6A21">
      <w:pPr>
        <w:pStyle w:val="Heading2"/>
        <w:rPr>
          <w:rFonts w:ascii="Arial" w:eastAsia="Arial" w:hAnsi="Arial" w:cs="Arial"/>
        </w:rPr>
      </w:pPr>
      <w:r>
        <w:rPr>
          <w:rFonts w:ascii="Arial" w:eastAsia="Arial" w:hAnsi="Arial" w:cs="Arial"/>
        </w:rPr>
        <w:t>School overview</w:t>
      </w:r>
    </w:p>
    <w:tbl>
      <w:tblPr>
        <w:tblStyle w:val="af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7"/>
        <w:gridCol w:w="2969"/>
      </w:tblGrid>
      <w:tr w:rsidR="0083703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Data</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Park Academy West London</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 xml:space="preserve">Number of students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B796F">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871</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Proportion (%) of pupil premium eligible 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B796F">
            <w:pPr>
              <w:pBdr>
                <w:top w:val="nil"/>
                <w:left w:val="nil"/>
                <w:bottom w:val="nil"/>
                <w:right w:val="nil"/>
                <w:between w:val="nil"/>
              </w:pBdr>
              <w:spacing w:before="60" w:after="60"/>
              <w:ind w:left="57" w:right="57"/>
              <w:rPr>
                <w:rFonts w:ascii="Arial" w:eastAsia="Arial" w:hAnsi="Arial" w:cs="Arial"/>
                <w:highlight w:val="red"/>
              </w:rPr>
            </w:pPr>
            <w:r>
              <w:rPr>
                <w:rFonts w:ascii="Arial" w:eastAsia="Arial" w:hAnsi="Arial" w:cs="Arial"/>
              </w:rPr>
              <w:t>42</w:t>
            </w:r>
            <w:r w:rsidR="003F6A21" w:rsidRPr="003B796F">
              <w:rPr>
                <w:rFonts w:ascii="Arial" w:eastAsia="Arial" w:hAnsi="Arial" w:cs="Arial"/>
              </w:rPr>
              <w:t>%</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 xml:space="preserve">Academic year/years that our current pupil premium strategy plan covers </w:t>
            </w:r>
            <w:r>
              <w:rPr>
                <w:rFonts w:ascii="Arial" w:eastAsia="Arial" w:hAnsi="Arial" w:cs="Arial"/>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2022-23 to 2025-26</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Pr="003B796F" w:rsidRDefault="003F6A21">
            <w:pPr>
              <w:pBdr>
                <w:top w:val="nil"/>
                <w:left w:val="nil"/>
                <w:bottom w:val="nil"/>
                <w:right w:val="nil"/>
                <w:between w:val="nil"/>
              </w:pBdr>
              <w:spacing w:before="60" w:after="60"/>
              <w:ind w:left="57" w:right="57"/>
              <w:rPr>
                <w:rFonts w:ascii="Arial" w:eastAsia="Arial" w:hAnsi="Arial" w:cs="Arial"/>
              </w:rPr>
            </w:pPr>
            <w:r w:rsidRPr="003B796F">
              <w:rPr>
                <w:rFonts w:ascii="Arial" w:eastAsia="Arial" w:hAnsi="Arial" w:cs="Arial"/>
              </w:rPr>
              <w:t>Septemb</w:t>
            </w:r>
            <w:r w:rsidR="003B796F">
              <w:rPr>
                <w:rFonts w:ascii="Arial" w:eastAsia="Arial" w:hAnsi="Arial" w:cs="Arial"/>
              </w:rPr>
              <w:t>er 2023</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Pr="003B796F" w:rsidRDefault="003B796F">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July 2024</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3B796F" w:rsidRDefault="003F6A21">
            <w:pPr>
              <w:pBdr>
                <w:top w:val="nil"/>
                <w:left w:val="nil"/>
                <w:bottom w:val="nil"/>
                <w:right w:val="nil"/>
                <w:between w:val="nil"/>
              </w:pBdr>
              <w:spacing w:before="60" w:after="60"/>
              <w:ind w:left="57" w:right="57"/>
              <w:rPr>
                <w:rFonts w:ascii="Arial" w:eastAsia="Arial" w:hAnsi="Arial" w:cs="Arial"/>
              </w:rPr>
            </w:pPr>
            <w:r w:rsidRPr="003B796F">
              <w:rPr>
                <w:rFonts w:ascii="Arial" w:eastAsia="Arial" w:hAnsi="Arial" w:cs="Arial"/>
              </w:rPr>
              <w:t>S. Mohey, Principal</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Student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3B796F" w:rsidRDefault="003B796F">
            <w:pPr>
              <w:pBdr>
                <w:top w:val="nil"/>
                <w:left w:val="nil"/>
                <w:bottom w:val="nil"/>
                <w:right w:val="nil"/>
                <w:between w:val="nil"/>
              </w:pBdr>
              <w:spacing w:before="60" w:after="60"/>
              <w:ind w:left="57" w:right="57"/>
              <w:rPr>
                <w:rFonts w:ascii="Arial" w:eastAsia="Arial" w:hAnsi="Arial" w:cs="Arial"/>
              </w:rPr>
            </w:pPr>
            <w:r w:rsidRPr="003B796F">
              <w:rPr>
                <w:rFonts w:ascii="Arial" w:eastAsia="Arial" w:hAnsi="Arial" w:cs="Arial"/>
              </w:rPr>
              <w:t xml:space="preserve">G </w:t>
            </w:r>
            <w:proofErr w:type="spellStart"/>
            <w:r w:rsidRPr="003B796F">
              <w:rPr>
                <w:rFonts w:ascii="Arial" w:eastAsia="Arial" w:hAnsi="Arial" w:cs="Arial"/>
              </w:rPr>
              <w:t>Mattis</w:t>
            </w:r>
            <w:proofErr w:type="spellEnd"/>
            <w:r w:rsidRPr="003B796F">
              <w:rPr>
                <w:rFonts w:ascii="Arial" w:eastAsia="Arial" w:hAnsi="Arial" w:cs="Arial"/>
              </w:rPr>
              <w:t>, Associate Assistant Principal</w:t>
            </w:r>
          </w:p>
        </w:tc>
      </w:tr>
      <w:tr w:rsidR="0083703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 xml:space="preserve">M. </w:t>
            </w:r>
            <w:proofErr w:type="spellStart"/>
            <w:r>
              <w:rPr>
                <w:rFonts w:ascii="Arial" w:eastAsia="Arial" w:hAnsi="Arial" w:cs="Arial"/>
              </w:rPr>
              <w:t>Lancy</w:t>
            </w:r>
            <w:proofErr w:type="spellEnd"/>
            <w:r>
              <w:rPr>
                <w:rFonts w:ascii="Arial" w:eastAsia="Arial" w:hAnsi="Arial" w:cs="Arial"/>
              </w:rPr>
              <w:t>, RCEO</w:t>
            </w:r>
          </w:p>
        </w:tc>
      </w:tr>
    </w:tbl>
    <w:p w:rsidR="00837038" w:rsidRDefault="003F6A21">
      <w:pPr>
        <w:spacing w:before="480"/>
        <w:rPr>
          <w:rFonts w:ascii="Arial" w:eastAsia="Arial" w:hAnsi="Arial" w:cs="Arial"/>
          <w:b/>
          <w:color w:val="104F75"/>
          <w:sz w:val="32"/>
          <w:szCs w:val="32"/>
        </w:rPr>
      </w:pPr>
      <w:r>
        <w:rPr>
          <w:rFonts w:ascii="Arial" w:eastAsia="Arial" w:hAnsi="Arial" w:cs="Arial"/>
          <w:b/>
          <w:color w:val="104F75"/>
          <w:sz w:val="32"/>
          <w:szCs w:val="32"/>
        </w:rPr>
        <w:t>Funding overview</w:t>
      </w:r>
    </w:p>
    <w:tbl>
      <w:tblPr>
        <w:tblStyle w:val="af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970"/>
      </w:tblGrid>
      <w:tr w:rsidR="0083703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b/>
              </w:rPr>
              <w:t>Amount</w:t>
            </w:r>
          </w:p>
        </w:tc>
      </w:tr>
      <w:tr w:rsidR="0083703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rsidP="00D42445">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w:t>
            </w:r>
            <w:r w:rsidR="00D42445">
              <w:rPr>
                <w:rFonts w:ascii="Arial" w:eastAsia="Arial" w:hAnsi="Arial" w:cs="Arial"/>
              </w:rPr>
              <w:t>372, 877</w:t>
            </w:r>
          </w:p>
        </w:tc>
      </w:tr>
      <w:tr w:rsidR="0083703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£0</w:t>
            </w:r>
          </w:p>
        </w:tc>
      </w:tr>
      <w:tr w:rsidR="0083703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£0</w:t>
            </w:r>
          </w:p>
        </w:tc>
      </w:tr>
      <w:tr w:rsidR="00837038">
        <w:tc>
          <w:tcPr>
            <w:tcW w:w="6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Total budget for this academic year</w:t>
            </w:r>
          </w:p>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w:t>
            </w:r>
            <w:r w:rsidR="00D42445">
              <w:rPr>
                <w:rFonts w:ascii="Arial" w:eastAsia="Arial" w:hAnsi="Arial" w:cs="Arial"/>
              </w:rPr>
              <w:t>372, 877</w:t>
            </w:r>
          </w:p>
        </w:tc>
      </w:tr>
    </w:tbl>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837038" w:rsidRDefault="00837038">
      <w:pPr>
        <w:pStyle w:val="Heading1"/>
        <w:rPr>
          <w:rFonts w:ascii="Arial" w:eastAsia="Arial" w:hAnsi="Arial" w:cs="Arial"/>
        </w:rPr>
      </w:pPr>
    </w:p>
    <w:p w:rsidR="0030236C" w:rsidRDefault="0030236C">
      <w:pPr>
        <w:pStyle w:val="Heading1"/>
        <w:rPr>
          <w:rFonts w:ascii="Arial" w:eastAsia="Arial" w:hAnsi="Arial" w:cs="Arial"/>
        </w:rPr>
      </w:pPr>
      <w:bookmarkStart w:id="0" w:name="_heading=h.2et92p0" w:colFirst="0" w:colLast="0"/>
      <w:bookmarkEnd w:id="0"/>
    </w:p>
    <w:p w:rsidR="0030236C" w:rsidRDefault="0030236C">
      <w:pPr>
        <w:pStyle w:val="Heading1"/>
        <w:rPr>
          <w:rFonts w:ascii="Arial" w:eastAsia="Arial" w:hAnsi="Arial" w:cs="Arial"/>
        </w:rPr>
      </w:pPr>
    </w:p>
    <w:p w:rsidR="00837038" w:rsidRDefault="003F6A21">
      <w:pPr>
        <w:pStyle w:val="Heading1"/>
        <w:rPr>
          <w:rFonts w:ascii="Arial" w:eastAsia="Arial" w:hAnsi="Arial" w:cs="Arial"/>
        </w:rPr>
      </w:pPr>
      <w:r>
        <w:rPr>
          <w:rFonts w:ascii="Arial" w:eastAsia="Arial" w:hAnsi="Arial" w:cs="Arial"/>
        </w:rPr>
        <w:lastRenderedPageBreak/>
        <w:t>Part A: Pupil premium strategy plan</w:t>
      </w:r>
    </w:p>
    <w:p w:rsidR="00837038" w:rsidRDefault="003F6A21">
      <w:pPr>
        <w:pStyle w:val="Heading2"/>
        <w:spacing w:before="360"/>
        <w:rPr>
          <w:rFonts w:ascii="Arial" w:eastAsia="Arial" w:hAnsi="Arial" w:cs="Arial"/>
        </w:rPr>
      </w:pPr>
      <w:bookmarkStart w:id="1" w:name="_heading=h.gjdgxs" w:colFirst="0" w:colLast="0"/>
      <w:bookmarkEnd w:id="1"/>
      <w:r>
        <w:rPr>
          <w:rFonts w:ascii="Arial" w:eastAsia="Arial" w:hAnsi="Arial" w:cs="Arial"/>
        </w:rPr>
        <w:t>Statement of intent</w:t>
      </w:r>
    </w:p>
    <w:tbl>
      <w:tblPr>
        <w:tblStyle w:val="afb"/>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837038">
        <w:tc>
          <w:tcPr>
            <w:tcW w:w="9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Pr="0030236C" w:rsidRDefault="003F6A21">
            <w:p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 xml:space="preserve">Our intention is that all students access the same high quality provision at Park Academy West London, and for the gap between disadvantaged and non-disadvantaged students to be narrowed in terms of progress, attainment and attendance.  We aim for all students to become confident, effective, resilient learners regardless of their socio-economic background. </w:t>
            </w:r>
          </w:p>
          <w:p w:rsidR="00837038" w:rsidRPr="0030236C" w:rsidRDefault="003F6A21">
            <w:p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 xml:space="preserve">Our approach is centred around high quality teaching and learning, with strategies specifically targeted at supporting students from disadvantaged backgrounds.  After each assessment point, data will be analysed and gaps monitored.  Information will be shared with staff and departments will be required to develop a short term action plan focused on the disadvantaged students to address any gaps that are not closing.  </w:t>
            </w:r>
          </w:p>
          <w:p w:rsidR="00837038" w:rsidRPr="0030236C" w:rsidRDefault="003F6A21">
            <w:p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The development of cultural capital opportunities for our disadvantaged students is also a priority for our disadvantaged students. It is intended that greater student engagement and raised aspirations will be increased by contextualising the curriculum with real life examples and enable disadvantaged students to broaden their cultural knowledge and comprehension of the curriculum.</w:t>
            </w:r>
          </w:p>
          <w:p w:rsidR="00837038" w:rsidRPr="0030236C" w:rsidRDefault="003F6A21">
            <w:p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As an Academy, our approach will take into consideration any challenges that disadvantaged students are facing, and will respond to changing student needs.  Such challenges will be identified using a range of information:</w:t>
            </w:r>
          </w:p>
          <w:p w:rsidR="00837038" w:rsidRPr="0030236C" w:rsidRDefault="003F6A21">
            <w:pPr>
              <w:numPr>
                <w:ilvl w:val="0"/>
                <w:numId w:val="7"/>
              </w:num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attitude to learning data;</w:t>
            </w:r>
          </w:p>
          <w:p w:rsidR="00837038" w:rsidRPr="0030236C" w:rsidRDefault="003F6A21">
            <w:pPr>
              <w:numPr>
                <w:ilvl w:val="0"/>
                <w:numId w:val="7"/>
              </w:num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attendance data;</w:t>
            </w:r>
          </w:p>
          <w:p w:rsidR="00837038" w:rsidRPr="0030236C" w:rsidRDefault="003F6A21">
            <w:pPr>
              <w:numPr>
                <w:ilvl w:val="0"/>
                <w:numId w:val="7"/>
              </w:num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teacher and student feedback</w:t>
            </w:r>
          </w:p>
          <w:p w:rsidR="00837038" w:rsidRPr="0030236C" w:rsidRDefault="003F6A21">
            <w:pPr>
              <w:numPr>
                <w:ilvl w:val="0"/>
                <w:numId w:val="7"/>
              </w:numPr>
              <w:pBdr>
                <w:top w:val="nil"/>
                <w:left w:val="nil"/>
                <w:bottom w:val="nil"/>
                <w:right w:val="nil"/>
                <w:between w:val="nil"/>
              </w:pBdr>
              <w:spacing w:before="60" w:after="60" w:line="276" w:lineRule="auto"/>
              <w:rPr>
                <w:rFonts w:ascii="Arial" w:eastAsia="Arial" w:hAnsi="Arial" w:cs="Arial"/>
                <w:i/>
                <w:color w:val="000000"/>
                <w:sz w:val="20"/>
              </w:rPr>
            </w:pPr>
            <w:r w:rsidRPr="0030236C">
              <w:rPr>
                <w:rFonts w:ascii="Arial" w:eastAsia="Arial" w:hAnsi="Arial" w:cs="Arial"/>
                <w:i/>
                <w:color w:val="000000"/>
                <w:sz w:val="20"/>
              </w:rPr>
              <w:t>information on wellbeing (including mental health) and safeguarding;</w:t>
            </w:r>
          </w:p>
          <w:p w:rsidR="00837038" w:rsidRDefault="003F6A21">
            <w:pPr>
              <w:numPr>
                <w:ilvl w:val="0"/>
                <w:numId w:val="7"/>
              </w:numPr>
              <w:pBdr>
                <w:top w:val="nil"/>
                <w:left w:val="nil"/>
                <w:bottom w:val="nil"/>
                <w:right w:val="nil"/>
                <w:between w:val="nil"/>
              </w:pBdr>
              <w:spacing w:before="60" w:after="60" w:line="276" w:lineRule="auto"/>
              <w:rPr>
                <w:rFonts w:ascii="Arial" w:eastAsia="Arial" w:hAnsi="Arial" w:cs="Arial"/>
                <w:i/>
                <w:color w:val="000000"/>
              </w:rPr>
            </w:pPr>
            <w:r w:rsidRPr="0030236C">
              <w:rPr>
                <w:rFonts w:ascii="Arial" w:eastAsia="Arial" w:hAnsi="Arial" w:cs="Arial"/>
                <w:i/>
                <w:color w:val="000000"/>
                <w:sz w:val="20"/>
              </w:rPr>
              <w:t>participation rates in extracurricular activities.</w:t>
            </w:r>
          </w:p>
        </w:tc>
      </w:tr>
    </w:tbl>
    <w:p w:rsidR="00837038" w:rsidRDefault="003F6A21">
      <w:pPr>
        <w:pStyle w:val="Heading2"/>
        <w:spacing w:after="120"/>
        <w:rPr>
          <w:rFonts w:ascii="Arial" w:eastAsia="Arial" w:hAnsi="Arial" w:cs="Arial"/>
        </w:rPr>
      </w:pPr>
      <w:r>
        <w:rPr>
          <w:rFonts w:ascii="Arial" w:eastAsia="Arial" w:hAnsi="Arial" w:cs="Arial"/>
        </w:rPr>
        <w:t>Challenges</w:t>
      </w:r>
    </w:p>
    <w:p w:rsidR="00837038" w:rsidRDefault="003F6A21">
      <w:pPr>
        <w:spacing w:before="120"/>
        <w:rPr>
          <w:rFonts w:ascii="Arial" w:eastAsia="Arial" w:hAnsi="Arial" w:cs="Arial"/>
        </w:rPr>
      </w:pPr>
      <w:r>
        <w:rPr>
          <w:rFonts w:ascii="Arial" w:eastAsia="Arial" w:hAnsi="Arial" w:cs="Arial"/>
          <w:color w:val="000000"/>
        </w:rPr>
        <w:t>This details the key challenges to achievement that we have identified among our disadvantaged students.</w:t>
      </w:r>
    </w:p>
    <w:tbl>
      <w:tblPr>
        <w:tblStyle w:val="af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8009"/>
      </w:tblGrid>
      <w:tr w:rsidR="0083703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 xml:space="preserve">Detail of challenge </w:t>
            </w:r>
          </w:p>
        </w:tc>
      </w:tr>
      <w:tr w:rsidR="00837038">
        <w:trPr>
          <w:trHeight w:val="9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right="57"/>
              <w:rPr>
                <w:rFonts w:ascii="Arial" w:eastAsia="Arial" w:hAnsi="Arial" w:cs="Arial"/>
                <w:sz w:val="20"/>
                <w:szCs w:val="20"/>
              </w:rPr>
            </w:pPr>
            <w:r w:rsidRPr="00EE26AB">
              <w:rPr>
                <w:rFonts w:ascii="Arial" w:eastAsia="Arial" w:hAnsi="Arial" w:cs="Arial"/>
                <w:color w:val="000000"/>
                <w:sz w:val="20"/>
                <w:szCs w:val="20"/>
              </w:rPr>
              <w:t xml:space="preserve">Our assessment and observations show that the progress and attainment of disadvantaged students is generally lower than that of their peers. </w:t>
            </w:r>
            <w:r w:rsidRPr="00EE26AB">
              <w:rPr>
                <w:rFonts w:ascii="Arial" w:eastAsia="Arial" w:hAnsi="Arial" w:cs="Arial"/>
                <w:sz w:val="20"/>
                <w:szCs w:val="20"/>
              </w:rPr>
              <w:t>Key Stage 4 results from 2023 show:</w:t>
            </w:r>
          </w:p>
          <w:tbl>
            <w:tblPr>
              <w:tblStyle w:val="afd"/>
              <w:tblW w:w="7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391"/>
              <w:gridCol w:w="1505"/>
              <w:gridCol w:w="1433"/>
              <w:gridCol w:w="1320"/>
            </w:tblGrid>
            <w:tr w:rsidR="00837038" w:rsidRPr="00EE26AB" w:rsidTr="0030236C">
              <w:trPr>
                <w:trHeight w:val="183"/>
                <w:jc w:val="center"/>
              </w:trPr>
              <w:tc>
                <w:tcPr>
                  <w:tcW w:w="1425" w:type="dxa"/>
                  <w:vAlign w:val="center"/>
                </w:tcPr>
                <w:p w:rsidR="00837038" w:rsidRPr="0030236C" w:rsidRDefault="003F6A21">
                  <w:pPr>
                    <w:jc w:val="center"/>
                    <w:rPr>
                      <w:rFonts w:ascii="Arial" w:eastAsia="Arial" w:hAnsi="Arial" w:cs="Arial"/>
                      <w:b/>
                      <w:sz w:val="20"/>
                      <w:szCs w:val="20"/>
                    </w:rPr>
                  </w:pPr>
                  <w:r w:rsidRPr="0030236C">
                    <w:rPr>
                      <w:rFonts w:ascii="Arial" w:eastAsia="Arial" w:hAnsi="Arial" w:cs="Arial"/>
                      <w:b/>
                      <w:sz w:val="20"/>
                      <w:szCs w:val="20"/>
                    </w:rPr>
                    <w:t>Category</w:t>
                  </w:r>
                </w:p>
              </w:tc>
              <w:tc>
                <w:tcPr>
                  <w:tcW w:w="1391" w:type="dxa"/>
                  <w:vAlign w:val="center"/>
                </w:tcPr>
                <w:p w:rsidR="00837038" w:rsidRPr="0030236C" w:rsidRDefault="003F6A21">
                  <w:pPr>
                    <w:jc w:val="center"/>
                    <w:rPr>
                      <w:rFonts w:ascii="Arial" w:eastAsia="Arial" w:hAnsi="Arial" w:cs="Arial"/>
                      <w:b/>
                      <w:sz w:val="20"/>
                      <w:szCs w:val="20"/>
                    </w:rPr>
                  </w:pPr>
                  <w:r w:rsidRPr="0030236C">
                    <w:rPr>
                      <w:rFonts w:ascii="Arial" w:eastAsia="Arial" w:hAnsi="Arial" w:cs="Arial"/>
                      <w:b/>
                      <w:sz w:val="20"/>
                      <w:szCs w:val="20"/>
                    </w:rPr>
                    <w:t>No. of students</w:t>
                  </w:r>
                </w:p>
              </w:tc>
              <w:tc>
                <w:tcPr>
                  <w:tcW w:w="1505" w:type="dxa"/>
                  <w:shd w:val="clear" w:color="auto" w:fill="auto"/>
                  <w:vAlign w:val="center"/>
                </w:tcPr>
                <w:p w:rsidR="00837038" w:rsidRPr="0030236C" w:rsidRDefault="003F6A21">
                  <w:pPr>
                    <w:jc w:val="center"/>
                    <w:rPr>
                      <w:rFonts w:ascii="Arial" w:eastAsia="Arial" w:hAnsi="Arial" w:cs="Arial"/>
                      <w:b/>
                      <w:sz w:val="20"/>
                      <w:szCs w:val="20"/>
                    </w:rPr>
                  </w:pPr>
                  <w:r w:rsidRPr="0030236C">
                    <w:rPr>
                      <w:rFonts w:ascii="Arial" w:eastAsia="Arial" w:hAnsi="Arial" w:cs="Arial"/>
                      <w:b/>
                      <w:sz w:val="20"/>
                      <w:szCs w:val="20"/>
                    </w:rPr>
                    <w:t>Grade 4+ in E&amp;M</w:t>
                  </w:r>
                </w:p>
              </w:tc>
              <w:tc>
                <w:tcPr>
                  <w:tcW w:w="1433" w:type="dxa"/>
                  <w:shd w:val="clear" w:color="auto" w:fill="auto"/>
                  <w:vAlign w:val="center"/>
                </w:tcPr>
                <w:p w:rsidR="00837038" w:rsidRPr="0030236C" w:rsidRDefault="003F6A21">
                  <w:pPr>
                    <w:jc w:val="center"/>
                    <w:rPr>
                      <w:rFonts w:ascii="Arial" w:eastAsia="Arial" w:hAnsi="Arial" w:cs="Arial"/>
                      <w:b/>
                      <w:sz w:val="20"/>
                      <w:szCs w:val="20"/>
                    </w:rPr>
                  </w:pPr>
                  <w:r w:rsidRPr="0030236C">
                    <w:rPr>
                      <w:rFonts w:ascii="Arial" w:eastAsia="Arial" w:hAnsi="Arial" w:cs="Arial"/>
                      <w:b/>
                      <w:sz w:val="20"/>
                      <w:szCs w:val="20"/>
                    </w:rPr>
                    <w:t>Grade 5+ in E&amp;M</w:t>
                  </w:r>
                </w:p>
              </w:tc>
              <w:tc>
                <w:tcPr>
                  <w:tcW w:w="1320" w:type="dxa"/>
                  <w:vAlign w:val="center"/>
                </w:tcPr>
                <w:p w:rsidR="00837038" w:rsidRPr="0030236C" w:rsidRDefault="003F6A21">
                  <w:pPr>
                    <w:jc w:val="center"/>
                    <w:rPr>
                      <w:rFonts w:ascii="Arial" w:eastAsia="Arial" w:hAnsi="Arial" w:cs="Arial"/>
                      <w:b/>
                      <w:sz w:val="20"/>
                      <w:szCs w:val="20"/>
                    </w:rPr>
                  </w:pPr>
                  <w:r w:rsidRPr="0030236C">
                    <w:rPr>
                      <w:rFonts w:ascii="Arial" w:eastAsia="Arial" w:hAnsi="Arial" w:cs="Arial"/>
                      <w:b/>
                      <w:sz w:val="20"/>
                      <w:szCs w:val="20"/>
                    </w:rPr>
                    <w:t>A8</w:t>
                  </w:r>
                </w:p>
              </w:tc>
            </w:tr>
            <w:tr w:rsidR="00837038" w:rsidRPr="00EE26AB" w:rsidTr="0030236C">
              <w:trPr>
                <w:trHeight w:val="13"/>
                <w:jc w:val="center"/>
              </w:trPr>
              <w:tc>
                <w:tcPr>
                  <w:tcW w:w="1425"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PP</w:t>
                  </w:r>
                </w:p>
              </w:tc>
              <w:tc>
                <w:tcPr>
                  <w:tcW w:w="1391"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44</w:t>
                  </w:r>
                </w:p>
              </w:tc>
              <w:tc>
                <w:tcPr>
                  <w:tcW w:w="1505" w:type="dxa"/>
                  <w:shd w:val="clear" w:color="auto" w:fill="auto"/>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30</w:t>
                  </w:r>
                </w:p>
              </w:tc>
              <w:tc>
                <w:tcPr>
                  <w:tcW w:w="1433"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16</w:t>
                  </w:r>
                </w:p>
              </w:tc>
              <w:tc>
                <w:tcPr>
                  <w:tcW w:w="1320" w:type="dxa"/>
                  <w:vAlign w:val="center"/>
                </w:tcPr>
                <w:p w:rsidR="00837038" w:rsidRPr="0030236C" w:rsidRDefault="00EE26AB">
                  <w:pPr>
                    <w:jc w:val="center"/>
                    <w:rPr>
                      <w:rFonts w:ascii="Arial" w:eastAsia="Arial" w:hAnsi="Arial" w:cs="Arial"/>
                      <w:sz w:val="20"/>
                      <w:szCs w:val="20"/>
                    </w:rPr>
                  </w:pPr>
                  <w:r w:rsidRPr="0030236C">
                    <w:rPr>
                      <w:rFonts w:ascii="Arial" w:eastAsia="Arial" w:hAnsi="Arial" w:cs="Arial"/>
                      <w:sz w:val="20"/>
                      <w:szCs w:val="20"/>
                    </w:rPr>
                    <w:t>35.72</w:t>
                  </w:r>
                </w:p>
              </w:tc>
            </w:tr>
            <w:tr w:rsidR="00837038" w:rsidRPr="00EE26AB" w:rsidTr="0030236C">
              <w:trPr>
                <w:trHeight w:val="5"/>
                <w:jc w:val="center"/>
              </w:trPr>
              <w:tc>
                <w:tcPr>
                  <w:tcW w:w="1425"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Non-PP</w:t>
                  </w:r>
                </w:p>
              </w:tc>
              <w:tc>
                <w:tcPr>
                  <w:tcW w:w="1391"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54</w:t>
                  </w:r>
                </w:p>
              </w:tc>
              <w:tc>
                <w:tcPr>
                  <w:tcW w:w="1505" w:type="dxa"/>
                  <w:shd w:val="clear" w:color="auto" w:fill="auto"/>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52</w:t>
                  </w:r>
                </w:p>
              </w:tc>
              <w:tc>
                <w:tcPr>
                  <w:tcW w:w="1433" w:type="dxa"/>
                  <w:vAlign w:val="center"/>
                </w:tcPr>
                <w:p w:rsidR="00837038" w:rsidRPr="0030236C" w:rsidRDefault="003F6A21">
                  <w:pPr>
                    <w:jc w:val="center"/>
                    <w:rPr>
                      <w:rFonts w:ascii="Arial" w:eastAsia="Arial" w:hAnsi="Arial" w:cs="Arial"/>
                      <w:sz w:val="20"/>
                      <w:szCs w:val="20"/>
                    </w:rPr>
                  </w:pPr>
                  <w:r w:rsidRPr="0030236C">
                    <w:rPr>
                      <w:rFonts w:ascii="Arial" w:eastAsia="Arial" w:hAnsi="Arial" w:cs="Arial"/>
                      <w:sz w:val="20"/>
                      <w:szCs w:val="20"/>
                    </w:rPr>
                    <w:t>30</w:t>
                  </w:r>
                </w:p>
              </w:tc>
              <w:tc>
                <w:tcPr>
                  <w:tcW w:w="1320" w:type="dxa"/>
                  <w:vAlign w:val="center"/>
                </w:tcPr>
                <w:p w:rsidR="00837038" w:rsidRPr="0030236C" w:rsidRDefault="00EE26AB">
                  <w:pPr>
                    <w:jc w:val="center"/>
                    <w:rPr>
                      <w:rFonts w:ascii="Arial" w:eastAsia="Arial" w:hAnsi="Arial" w:cs="Arial"/>
                      <w:sz w:val="20"/>
                      <w:szCs w:val="20"/>
                    </w:rPr>
                  </w:pPr>
                  <w:r w:rsidRPr="0030236C">
                    <w:rPr>
                      <w:rFonts w:ascii="Arial" w:eastAsia="Arial" w:hAnsi="Arial" w:cs="Arial"/>
                      <w:sz w:val="20"/>
                      <w:szCs w:val="20"/>
                    </w:rPr>
                    <w:t>40.06</w:t>
                  </w:r>
                </w:p>
              </w:tc>
            </w:tr>
          </w:tbl>
          <w:p w:rsidR="00EE26AB" w:rsidRPr="0030236C" w:rsidRDefault="00EE26AB">
            <w:pPr>
              <w:pBdr>
                <w:top w:val="nil"/>
                <w:left w:val="nil"/>
                <w:bottom w:val="nil"/>
                <w:right w:val="nil"/>
                <w:between w:val="nil"/>
              </w:pBdr>
              <w:spacing w:before="60" w:after="60"/>
              <w:ind w:left="57" w:right="57"/>
              <w:rPr>
                <w:rFonts w:ascii="Arial" w:eastAsia="Arial" w:hAnsi="Arial" w:cs="Arial"/>
                <w:sz w:val="18"/>
                <w:szCs w:val="20"/>
              </w:rPr>
            </w:pPr>
          </w:p>
          <w:p w:rsidR="00837038" w:rsidRPr="00EE26AB" w:rsidRDefault="003F6A21" w:rsidP="0030236C">
            <w:pPr>
              <w:pBdr>
                <w:top w:val="nil"/>
                <w:left w:val="nil"/>
                <w:bottom w:val="nil"/>
                <w:right w:val="nil"/>
                <w:between w:val="nil"/>
              </w:pBdr>
              <w:ind w:left="57" w:right="57"/>
              <w:rPr>
                <w:rFonts w:ascii="Arial" w:eastAsia="Arial" w:hAnsi="Arial" w:cs="Arial"/>
                <w:sz w:val="20"/>
                <w:szCs w:val="20"/>
              </w:rPr>
            </w:pPr>
            <w:r w:rsidRPr="00EE26AB">
              <w:rPr>
                <w:rFonts w:ascii="Arial" w:eastAsia="Arial" w:hAnsi="Arial" w:cs="Arial"/>
                <w:sz w:val="20"/>
                <w:szCs w:val="20"/>
              </w:rPr>
              <w:t>Key Stage 5 results show a gap in A Level attainment between disadvantaged and non-disadvantaged students. Key Stage 5 A Level results from 2023 show:</w:t>
            </w:r>
          </w:p>
          <w:p w:rsidR="00837038" w:rsidRPr="00EE26AB" w:rsidRDefault="003F6A21" w:rsidP="0030236C">
            <w:pPr>
              <w:pBdr>
                <w:top w:val="nil"/>
                <w:left w:val="nil"/>
                <w:bottom w:val="nil"/>
                <w:right w:val="nil"/>
                <w:between w:val="nil"/>
              </w:pBdr>
              <w:ind w:left="57" w:right="57"/>
              <w:rPr>
                <w:rFonts w:ascii="Arial" w:eastAsia="Arial" w:hAnsi="Arial" w:cs="Arial"/>
                <w:sz w:val="20"/>
                <w:szCs w:val="20"/>
              </w:rPr>
            </w:pPr>
            <w:r w:rsidRPr="00EE26AB">
              <w:rPr>
                <w:rFonts w:ascii="Arial" w:eastAsia="Arial" w:hAnsi="Arial" w:cs="Arial"/>
                <w:sz w:val="20"/>
                <w:szCs w:val="20"/>
              </w:rPr>
              <w:t xml:space="preserve">                       </w:t>
            </w:r>
          </w:p>
          <w:tbl>
            <w:tblPr>
              <w:tblStyle w:val="afe"/>
              <w:tblW w:w="7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1"/>
              <w:gridCol w:w="1271"/>
              <w:gridCol w:w="1271"/>
              <w:gridCol w:w="1271"/>
              <w:gridCol w:w="1271"/>
            </w:tblGrid>
            <w:tr w:rsidR="00EE26AB" w:rsidRPr="00EE26AB" w:rsidTr="0030236C">
              <w:trPr>
                <w:trHeight w:val="33"/>
                <w:jc w:val="center"/>
              </w:trPr>
              <w:tc>
                <w:tcPr>
                  <w:tcW w:w="1271" w:type="dxa"/>
                  <w:vAlign w:val="center"/>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Category</w:t>
                  </w:r>
                </w:p>
              </w:tc>
              <w:tc>
                <w:tcPr>
                  <w:tcW w:w="1271" w:type="dxa"/>
                  <w:vAlign w:val="center"/>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No. of students</w:t>
                  </w:r>
                </w:p>
              </w:tc>
              <w:tc>
                <w:tcPr>
                  <w:tcW w:w="1271" w:type="dxa"/>
                  <w:vAlign w:val="center"/>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 xml:space="preserve">A Level </w:t>
                  </w:r>
                </w:p>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APS</w:t>
                  </w:r>
                </w:p>
              </w:tc>
              <w:tc>
                <w:tcPr>
                  <w:tcW w:w="1271" w:type="dxa"/>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Vocational</w:t>
                  </w:r>
                </w:p>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APS</w:t>
                  </w:r>
                </w:p>
              </w:tc>
              <w:tc>
                <w:tcPr>
                  <w:tcW w:w="1271" w:type="dxa"/>
                  <w:vAlign w:val="center"/>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 of entries A*- C</w:t>
                  </w:r>
                </w:p>
              </w:tc>
              <w:tc>
                <w:tcPr>
                  <w:tcW w:w="1271" w:type="dxa"/>
                  <w:vAlign w:val="center"/>
                </w:tcPr>
                <w:p w:rsidR="00EE26AB" w:rsidRPr="0030236C" w:rsidRDefault="00EE26AB" w:rsidP="0030236C">
                  <w:pPr>
                    <w:ind w:right="57"/>
                    <w:jc w:val="center"/>
                    <w:rPr>
                      <w:rFonts w:ascii="Arial" w:eastAsia="Arial" w:hAnsi="Arial" w:cs="Arial"/>
                      <w:b/>
                      <w:sz w:val="20"/>
                      <w:szCs w:val="20"/>
                    </w:rPr>
                  </w:pPr>
                  <w:r w:rsidRPr="0030236C">
                    <w:rPr>
                      <w:rFonts w:ascii="Arial" w:eastAsia="Arial" w:hAnsi="Arial" w:cs="Arial"/>
                      <w:b/>
                      <w:sz w:val="20"/>
                      <w:szCs w:val="20"/>
                    </w:rPr>
                    <w:t>% of entries A*- E</w:t>
                  </w:r>
                </w:p>
              </w:tc>
            </w:tr>
            <w:tr w:rsidR="00EE26AB" w:rsidRPr="00EE26AB" w:rsidTr="0030236C">
              <w:trPr>
                <w:trHeight w:val="173"/>
                <w:jc w:val="center"/>
              </w:trPr>
              <w:tc>
                <w:tcPr>
                  <w:tcW w:w="1271" w:type="dxa"/>
                  <w:vAlign w:val="center"/>
                </w:tcPr>
                <w:p w:rsidR="00EE26AB" w:rsidRPr="0030236C" w:rsidRDefault="00EE26AB" w:rsidP="0030236C">
                  <w:pPr>
                    <w:ind w:right="57"/>
                    <w:jc w:val="center"/>
                    <w:rPr>
                      <w:rFonts w:ascii="Arial" w:eastAsia="Arial" w:hAnsi="Arial" w:cs="Arial"/>
                      <w:sz w:val="20"/>
                      <w:szCs w:val="20"/>
                    </w:rPr>
                  </w:pPr>
                  <w:r w:rsidRPr="0030236C">
                    <w:rPr>
                      <w:rFonts w:ascii="Arial" w:eastAsia="Arial" w:hAnsi="Arial" w:cs="Arial"/>
                      <w:sz w:val="20"/>
                      <w:szCs w:val="20"/>
                    </w:rPr>
                    <w:t>PP</w:t>
                  </w:r>
                </w:p>
              </w:tc>
              <w:tc>
                <w:tcPr>
                  <w:tcW w:w="1271" w:type="dxa"/>
                  <w:vAlign w:val="center"/>
                </w:tcPr>
                <w:p w:rsidR="00EE26AB" w:rsidRPr="0030236C" w:rsidRDefault="00EE26AB" w:rsidP="0030236C">
                  <w:pPr>
                    <w:ind w:right="57"/>
                    <w:jc w:val="center"/>
                    <w:rPr>
                      <w:rFonts w:ascii="Arial" w:eastAsia="Arial" w:hAnsi="Arial" w:cs="Arial"/>
                      <w:sz w:val="20"/>
                      <w:szCs w:val="20"/>
                    </w:rPr>
                  </w:pPr>
                  <w:r w:rsidRPr="0030236C">
                    <w:rPr>
                      <w:rFonts w:ascii="Arial" w:eastAsia="Arial" w:hAnsi="Arial" w:cs="Arial"/>
                      <w:sz w:val="20"/>
                      <w:szCs w:val="20"/>
                    </w:rPr>
                    <w:t>15</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20.71</w:t>
                  </w:r>
                </w:p>
              </w:tc>
              <w:tc>
                <w:tcPr>
                  <w:tcW w:w="1271" w:type="dxa"/>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35.29</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45.5</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100.0</w:t>
                  </w:r>
                </w:p>
              </w:tc>
            </w:tr>
            <w:tr w:rsidR="00EE26AB" w:rsidRPr="00EE26AB" w:rsidTr="0030236C">
              <w:trPr>
                <w:trHeight w:val="20"/>
                <w:jc w:val="center"/>
              </w:trPr>
              <w:tc>
                <w:tcPr>
                  <w:tcW w:w="1271" w:type="dxa"/>
                  <w:vAlign w:val="center"/>
                </w:tcPr>
                <w:p w:rsidR="00EE26AB" w:rsidRPr="0030236C" w:rsidRDefault="00EE26AB" w:rsidP="0030236C">
                  <w:pPr>
                    <w:ind w:right="57"/>
                    <w:jc w:val="center"/>
                    <w:rPr>
                      <w:rFonts w:ascii="Arial" w:eastAsia="Arial" w:hAnsi="Arial" w:cs="Arial"/>
                      <w:sz w:val="20"/>
                      <w:szCs w:val="20"/>
                    </w:rPr>
                  </w:pPr>
                  <w:r w:rsidRPr="0030236C">
                    <w:rPr>
                      <w:rFonts w:ascii="Arial" w:eastAsia="Arial" w:hAnsi="Arial" w:cs="Arial"/>
                      <w:sz w:val="20"/>
                      <w:szCs w:val="20"/>
                    </w:rPr>
                    <w:t>Non-PP</w:t>
                  </w:r>
                </w:p>
              </w:tc>
              <w:tc>
                <w:tcPr>
                  <w:tcW w:w="1271" w:type="dxa"/>
                  <w:vAlign w:val="center"/>
                </w:tcPr>
                <w:p w:rsidR="00EE26AB" w:rsidRPr="0030236C" w:rsidRDefault="00EE26AB" w:rsidP="0030236C">
                  <w:pPr>
                    <w:ind w:right="57"/>
                    <w:jc w:val="center"/>
                    <w:rPr>
                      <w:rFonts w:ascii="Arial" w:eastAsia="Arial" w:hAnsi="Arial" w:cs="Arial"/>
                      <w:sz w:val="20"/>
                      <w:szCs w:val="20"/>
                    </w:rPr>
                  </w:pPr>
                  <w:r w:rsidRPr="0030236C">
                    <w:rPr>
                      <w:rFonts w:ascii="Arial" w:eastAsia="Arial" w:hAnsi="Arial" w:cs="Arial"/>
                      <w:sz w:val="20"/>
                      <w:szCs w:val="20"/>
                    </w:rPr>
                    <w:t>27</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24.20</w:t>
                  </w:r>
                </w:p>
              </w:tc>
              <w:tc>
                <w:tcPr>
                  <w:tcW w:w="1271" w:type="dxa"/>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31.33</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53.3</w:t>
                  </w:r>
                </w:p>
              </w:tc>
              <w:tc>
                <w:tcPr>
                  <w:tcW w:w="1271" w:type="dxa"/>
                  <w:vAlign w:val="center"/>
                </w:tcPr>
                <w:p w:rsidR="00EE26AB" w:rsidRPr="0030236C" w:rsidRDefault="0030236C" w:rsidP="0030236C">
                  <w:pPr>
                    <w:ind w:right="57"/>
                    <w:jc w:val="center"/>
                    <w:rPr>
                      <w:rFonts w:ascii="Arial" w:eastAsia="Arial" w:hAnsi="Arial" w:cs="Arial"/>
                      <w:sz w:val="20"/>
                      <w:szCs w:val="20"/>
                    </w:rPr>
                  </w:pPr>
                  <w:r w:rsidRPr="0030236C">
                    <w:rPr>
                      <w:rFonts w:ascii="Arial" w:eastAsia="Arial" w:hAnsi="Arial" w:cs="Arial"/>
                      <w:sz w:val="20"/>
                      <w:szCs w:val="20"/>
                    </w:rPr>
                    <w:t>96.1</w:t>
                  </w:r>
                </w:p>
              </w:tc>
            </w:tr>
          </w:tbl>
          <w:p w:rsidR="00837038" w:rsidRPr="00EE26AB" w:rsidRDefault="00837038">
            <w:pPr>
              <w:pBdr>
                <w:top w:val="nil"/>
                <w:left w:val="nil"/>
                <w:bottom w:val="nil"/>
                <w:right w:val="nil"/>
                <w:between w:val="nil"/>
              </w:pBdr>
              <w:spacing w:before="60" w:after="60"/>
              <w:ind w:right="57"/>
              <w:rPr>
                <w:rFonts w:ascii="Arial" w:eastAsia="Arial" w:hAnsi="Arial" w:cs="Arial"/>
                <w:sz w:val="20"/>
                <w:szCs w:val="20"/>
              </w:rPr>
            </w:pPr>
          </w:p>
          <w:p w:rsidR="00837038" w:rsidRPr="00EE26AB" w:rsidRDefault="003F6A21">
            <w:pPr>
              <w:pBdr>
                <w:top w:val="nil"/>
                <w:left w:val="nil"/>
                <w:bottom w:val="nil"/>
                <w:right w:val="nil"/>
                <w:between w:val="nil"/>
              </w:pBdr>
              <w:spacing w:before="60" w:after="60"/>
              <w:ind w:left="57" w:right="57"/>
              <w:rPr>
                <w:rFonts w:ascii="Arial" w:eastAsia="Arial" w:hAnsi="Arial" w:cs="Arial"/>
                <w:sz w:val="20"/>
                <w:szCs w:val="20"/>
              </w:rPr>
            </w:pPr>
            <w:r w:rsidRPr="00EE26AB">
              <w:rPr>
                <w:rFonts w:ascii="Arial" w:eastAsia="Arial" w:hAnsi="Arial" w:cs="Arial"/>
                <w:sz w:val="20"/>
                <w:szCs w:val="20"/>
              </w:rPr>
              <w:lastRenderedPageBreak/>
              <w:t>Also, end of year Key Stage 3 assessment data shows a gap in attainment in English and Maths. Disadvantaged students are generally expected to perform less well than their peers at the end of Key Stage 4:</w:t>
            </w:r>
          </w:p>
          <w:p w:rsidR="00837038" w:rsidRPr="00EE26AB" w:rsidRDefault="00837038" w:rsidP="0030236C">
            <w:pPr>
              <w:pBdr>
                <w:top w:val="nil"/>
                <w:left w:val="nil"/>
                <w:bottom w:val="nil"/>
                <w:right w:val="nil"/>
                <w:between w:val="nil"/>
              </w:pBdr>
              <w:ind w:left="57" w:right="57"/>
              <w:rPr>
                <w:rFonts w:ascii="Arial" w:eastAsia="Arial" w:hAnsi="Arial" w:cs="Arial"/>
                <w:sz w:val="20"/>
                <w:szCs w:val="20"/>
              </w:rPr>
            </w:pPr>
          </w:p>
          <w:tbl>
            <w:tblPr>
              <w:tblStyle w:val="aff"/>
              <w:tblW w:w="6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1336"/>
              <w:gridCol w:w="1336"/>
              <w:gridCol w:w="1336"/>
              <w:gridCol w:w="1336"/>
            </w:tblGrid>
            <w:tr w:rsidR="00837038" w:rsidRPr="00EE26AB">
              <w:trPr>
                <w:trHeight w:val="247"/>
                <w:jc w:val="center"/>
              </w:trPr>
              <w:tc>
                <w:tcPr>
                  <w:tcW w:w="1336" w:type="dxa"/>
                  <w:vMerge w:val="restart"/>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 xml:space="preserve">Year </w:t>
                  </w:r>
                </w:p>
              </w:tc>
              <w:tc>
                <w:tcPr>
                  <w:tcW w:w="2672" w:type="dxa"/>
                  <w:gridSpan w:val="2"/>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 on track to achieve grade 4+ at end of KS4 in English</w:t>
                  </w:r>
                </w:p>
              </w:tc>
              <w:tc>
                <w:tcPr>
                  <w:tcW w:w="2672" w:type="dxa"/>
                  <w:gridSpan w:val="2"/>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 on track to achieve grade 4+ at end of KS4 in Maths</w:t>
                  </w:r>
                </w:p>
              </w:tc>
            </w:tr>
            <w:tr w:rsidR="00837038" w:rsidRPr="00EE26AB">
              <w:trPr>
                <w:trHeight w:val="241"/>
                <w:jc w:val="center"/>
              </w:trPr>
              <w:tc>
                <w:tcPr>
                  <w:tcW w:w="1336" w:type="dxa"/>
                  <w:vMerge/>
                  <w:vAlign w:val="center"/>
                </w:tcPr>
                <w:p w:rsidR="00837038" w:rsidRPr="00EE26AB" w:rsidRDefault="00837038">
                  <w:pPr>
                    <w:widowControl w:val="0"/>
                    <w:pBdr>
                      <w:top w:val="nil"/>
                      <w:left w:val="nil"/>
                      <w:bottom w:val="nil"/>
                      <w:right w:val="nil"/>
                      <w:between w:val="nil"/>
                    </w:pBdr>
                    <w:spacing w:line="276" w:lineRule="auto"/>
                    <w:rPr>
                      <w:rFonts w:ascii="Arial" w:eastAsia="Arial" w:hAnsi="Arial" w:cs="Arial"/>
                      <w:sz w:val="20"/>
                      <w:szCs w:val="20"/>
                    </w:rPr>
                  </w:pP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PP</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Non-PP</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PP</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Non-PP</w:t>
                  </w:r>
                </w:p>
              </w:tc>
            </w:tr>
            <w:tr w:rsidR="00837038" w:rsidRPr="00EE26AB" w:rsidTr="007C0639">
              <w:trPr>
                <w:trHeight w:val="247"/>
                <w:jc w:val="center"/>
              </w:trPr>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Year 7</w:t>
                  </w:r>
                </w:p>
              </w:tc>
              <w:tc>
                <w:tcPr>
                  <w:tcW w:w="1336" w:type="dxa"/>
                  <w:vAlign w:val="center"/>
                </w:tcPr>
                <w:p w:rsidR="00837038" w:rsidRPr="00EE26AB" w:rsidRDefault="00E20DB0" w:rsidP="007C0639">
                  <w:pPr>
                    <w:spacing w:before="60" w:after="60"/>
                    <w:ind w:right="57"/>
                    <w:jc w:val="center"/>
                    <w:rPr>
                      <w:rFonts w:ascii="Arial" w:eastAsia="Arial" w:hAnsi="Arial" w:cs="Arial"/>
                      <w:sz w:val="20"/>
                      <w:szCs w:val="20"/>
                    </w:rPr>
                  </w:pPr>
                  <w:r>
                    <w:rPr>
                      <w:rFonts w:ascii="Arial" w:eastAsia="Arial" w:hAnsi="Arial" w:cs="Arial"/>
                      <w:sz w:val="20"/>
                      <w:szCs w:val="20"/>
                    </w:rPr>
                    <w:t>61.2</w:t>
                  </w:r>
                </w:p>
              </w:tc>
              <w:tc>
                <w:tcPr>
                  <w:tcW w:w="1336" w:type="dxa"/>
                  <w:vAlign w:val="center"/>
                </w:tcPr>
                <w:p w:rsidR="00837038" w:rsidRPr="00EE26AB" w:rsidRDefault="00E20DB0" w:rsidP="007C0639">
                  <w:pPr>
                    <w:spacing w:before="60" w:after="60"/>
                    <w:ind w:right="57"/>
                    <w:jc w:val="center"/>
                    <w:rPr>
                      <w:rFonts w:ascii="Arial" w:eastAsia="Arial" w:hAnsi="Arial" w:cs="Arial"/>
                      <w:sz w:val="20"/>
                      <w:szCs w:val="20"/>
                    </w:rPr>
                  </w:pPr>
                  <w:r>
                    <w:rPr>
                      <w:rFonts w:ascii="Arial" w:eastAsia="Arial" w:hAnsi="Arial" w:cs="Arial"/>
                      <w:sz w:val="20"/>
                      <w:szCs w:val="20"/>
                    </w:rPr>
                    <w:t>81.7</w:t>
                  </w:r>
                </w:p>
              </w:tc>
              <w:tc>
                <w:tcPr>
                  <w:tcW w:w="1336" w:type="dxa"/>
                  <w:vAlign w:val="center"/>
                </w:tcPr>
                <w:p w:rsidR="00837038" w:rsidRPr="00EE26AB" w:rsidRDefault="00E20DB0" w:rsidP="007C0639">
                  <w:pPr>
                    <w:spacing w:before="60" w:after="60"/>
                    <w:ind w:right="57"/>
                    <w:jc w:val="center"/>
                    <w:rPr>
                      <w:rFonts w:ascii="Arial" w:eastAsia="Arial" w:hAnsi="Arial" w:cs="Arial"/>
                      <w:sz w:val="20"/>
                      <w:szCs w:val="20"/>
                    </w:rPr>
                  </w:pPr>
                  <w:r>
                    <w:rPr>
                      <w:rFonts w:ascii="Arial" w:eastAsia="Arial" w:hAnsi="Arial" w:cs="Arial"/>
                      <w:sz w:val="20"/>
                      <w:szCs w:val="20"/>
                    </w:rPr>
                    <w:t>43.3</w:t>
                  </w:r>
                </w:p>
              </w:tc>
              <w:tc>
                <w:tcPr>
                  <w:tcW w:w="1336" w:type="dxa"/>
                  <w:vAlign w:val="center"/>
                </w:tcPr>
                <w:p w:rsidR="00837038" w:rsidRPr="00EE26AB" w:rsidRDefault="00E20DB0" w:rsidP="007C0639">
                  <w:pPr>
                    <w:spacing w:before="60" w:after="60"/>
                    <w:ind w:right="57"/>
                    <w:jc w:val="center"/>
                    <w:rPr>
                      <w:rFonts w:ascii="Arial" w:eastAsia="Arial" w:hAnsi="Arial" w:cs="Arial"/>
                      <w:sz w:val="20"/>
                      <w:szCs w:val="20"/>
                    </w:rPr>
                  </w:pPr>
                  <w:r>
                    <w:rPr>
                      <w:rFonts w:ascii="Arial" w:eastAsia="Arial" w:hAnsi="Arial" w:cs="Arial"/>
                      <w:sz w:val="20"/>
                      <w:szCs w:val="20"/>
                    </w:rPr>
                    <w:t>72.1</w:t>
                  </w:r>
                </w:p>
              </w:tc>
            </w:tr>
            <w:tr w:rsidR="00837038" w:rsidRPr="00EE26AB">
              <w:trPr>
                <w:trHeight w:val="241"/>
                <w:jc w:val="center"/>
              </w:trPr>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Year 8</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52.9</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58.8</w:t>
                  </w:r>
                </w:p>
              </w:tc>
              <w:tc>
                <w:tcPr>
                  <w:tcW w:w="1336" w:type="dxa"/>
                  <w:vAlign w:val="center"/>
                </w:tcPr>
                <w:p w:rsidR="00837038" w:rsidRPr="00EE26AB" w:rsidRDefault="003F6A21">
                  <w:pPr>
                    <w:spacing w:before="60" w:after="60"/>
                    <w:ind w:right="57"/>
                    <w:rPr>
                      <w:rFonts w:ascii="Arial" w:eastAsia="Arial" w:hAnsi="Arial" w:cs="Arial"/>
                      <w:sz w:val="20"/>
                      <w:szCs w:val="20"/>
                    </w:rPr>
                  </w:pPr>
                  <w:r w:rsidRPr="00EE26AB">
                    <w:rPr>
                      <w:rFonts w:ascii="Arial" w:eastAsia="Arial" w:hAnsi="Arial" w:cs="Arial"/>
                      <w:sz w:val="20"/>
                      <w:szCs w:val="20"/>
                    </w:rPr>
                    <w:t xml:space="preserve">        50.0</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52.0</w:t>
                  </w:r>
                </w:p>
              </w:tc>
            </w:tr>
            <w:tr w:rsidR="00837038" w:rsidRPr="00EE26AB">
              <w:trPr>
                <w:trHeight w:val="247"/>
                <w:jc w:val="center"/>
              </w:trPr>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Year 9</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43.3</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54.3</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46.7</w:t>
                  </w:r>
                </w:p>
              </w:tc>
              <w:tc>
                <w:tcPr>
                  <w:tcW w:w="1336" w:type="dxa"/>
                  <w:vAlign w:val="center"/>
                </w:tcPr>
                <w:p w:rsidR="00837038" w:rsidRPr="00EE26AB" w:rsidRDefault="003F6A21">
                  <w:pPr>
                    <w:spacing w:before="60" w:after="60"/>
                    <w:ind w:right="57"/>
                    <w:jc w:val="center"/>
                    <w:rPr>
                      <w:rFonts w:ascii="Arial" w:eastAsia="Arial" w:hAnsi="Arial" w:cs="Arial"/>
                      <w:sz w:val="20"/>
                      <w:szCs w:val="20"/>
                    </w:rPr>
                  </w:pPr>
                  <w:r w:rsidRPr="00EE26AB">
                    <w:rPr>
                      <w:rFonts w:ascii="Arial" w:eastAsia="Arial" w:hAnsi="Arial" w:cs="Arial"/>
                      <w:sz w:val="20"/>
                      <w:szCs w:val="20"/>
                    </w:rPr>
                    <w:t>60.9</w:t>
                  </w:r>
                </w:p>
              </w:tc>
            </w:tr>
          </w:tbl>
          <w:p w:rsidR="00837038" w:rsidRPr="00EE26AB" w:rsidRDefault="00837038">
            <w:pPr>
              <w:pBdr>
                <w:top w:val="nil"/>
                <w:left w:val="nil"/>
                <w:bottom w:val="nil"/>
                <w:right w:val="nil"/>
                <w:between w:val="nil"/>
              </w:pBdr>
              <w:spacing w:before="60" w:after="60"/>
              <w:ind w:left="57" w:right="57"/>
              <w:rPr>
                <w:rFonts w:ascii="Arial" w:eastAsia="Arial" w:hAnsi="Arial" w:cs="Arial"/>
                <w:sz w:val="20"/>
                <w:szCs w:val="20"/>
                <w:highlight w:val="yellow"/>
              </w:rPr>
            </w:pPr>
          </w:p>
        </w:tc>
      </w:tr>
      <w:tr w:rsidR="0083703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spacing w:before="60" w:after="60"/>
              <w:ind w:left="35" w:right="57"/>
              <w:rPr>
                <w:rFonts w:ascii="Arial" w:eastAsia="Arial" w:hAnsi="Arial" w:cs="Arial"/>
                <w:color w:val="000000"/>
                <w:sz w:val="20"/>
                <w:szCs w:val="20"/>
              </w:rPr>
            </w:pPr>
            <w:r w:rsidRPr="00EE26AB">
              <w:rPr>
                <w:rFonts w:ascii="Arial" w:eastAsia="Arial" w:hAnsi="Arial" w:cs="Arial"/>
                <w:color w:val="000000"/>
                <w:sz w:val="20"/>
                <w:szCs w:val="20"/>
              </w:rPr>
              <w:t>Our attendance data over the last 2 years indicates that attendance among disadvantaged students has been between 2.4 – 3.5% lower than for non-disadvantaged students.</w:t>
            </w:r>
          </w:p>
          <w:p w:rsidR="00837038" w:rsidRPr="00EE26AB" w:rsidRDefault="0030236C">
            <w:pPr>
              <w:pBdr>
                <w:top w:val="nil"/>
                <w:left w:val="nil"/>
                <w:bottom w:val="nil"/>
                <w:right w:val="nil"/>
                <w:between w:val="nil"/>
              </w:pBdr>
              <w:spacing w:before="60" w:after="60"/>
              <w:ind w:left="57" w:right="57"/>
              <w:rPr>
                <w:rFonts w:ascii="Arial" w:eastAsia="Arial" w:hAnsi="Arial" w:cs="Arial"/>
                <w:sz w:val="20"/>
                <w:szCs w:val="20"/>
              </w:rPr>
            </w:pPr>
            <w:r>
              <w:rPr>
                <w:rFonts w:ascii="Arial" w:eastAsia="Arial" w:hAnsi="Arial" w:cs="Arial"/>
                <w:color w:val="000000"/>
                <w:sz w:val="20"/>
                <w:szCs w:val="20"/>
              </w:rPr>
              <w:t>36.6</w:t>
            </w:r>
            <w:r w:rsidR="003F6A21" w:rsidRPr="0030236C">
              <w:rPr>
                <w:rFonts w:ascii="Arial" w:eastAsia="Arial" w:hAnsi="Arial" w:cs="Arial"/>
                <w:color w:val="000000"/>
                <w:sz w:val="20"/>
                <w:szCs w:val="20"/>
              </w:rPr>
              <w:t>% of disadvantaged students were ‘persistently absent’ in 202</w:t>
            </w:r>
            <w:r w:rsidR="003F6A21" w:rsidRPr="0030236C">
              <w:rPr>
                <w:rFonts w:ascii="Arial" w:eastAsia="Arial" w:hAnsi="Arial" w:cs="Arial"/>
                <w:sz w:val="20"/>
                <w:szCs w:val="20"/>
              </w:rPr>
              <w:t>2</w:t>
            </w:r>
            <w:r w:rsidR="003F6A21" w:rsidRPr="0030236C">
              <w:rPr>
                <w:rFonts w:ascii="Arial" w:eastAsia="Arial" w:hAnsi="Arial" w:cs="Arial"/>
                <w:color w:val="000000"/>
                <w:sz w:val="20"/>
                <w:szCs w:val="20"/>
              </w:rPr>
              <w:t xml:space="preserve"> - 202</w:t>
            </w:r>
            <w:r w:rsidR="003F6A21" w:rsidRPr="0030236C">
              <w:rPr>
                <w:rFonts w:ascii="Arial" w:eastAsia="Arial" w:hAnsi="Arial" w:cs="Arial"/>
                <w:sz w:val="20"/>
                <w:szCs w:val="20"/>
              </w:rPr>
              <w:t>3</w:t>
            </w:r>
            <w:r w:rsidR="003F6A21" w:rsidRPr="0030236C">
              <w:rPr>
                <w:rFonts w:ascii="Arial" w:eastAsia="Arial" w:hAnsi="Arial" w:cs="Arial"/>
                <w:color w:val="000000"/>
                <w:sz w:val="20"/>
                <w:szCs w:val="20"/>
              </w:rPr>
              <w:t xml:space="preserve"> compared to </w:t>
            </w:r>
            <w:r>
              <w:rPr>
                <w:rFonts w:ascii="Arial" w:eastAsia="Arial" w:hAnsi="Arial" w:cs="Arial"/>
                <w:color w:val="000000"/>
                <w:sz w:val="20"/>
                <w:szCs w:val="20"/>
              </w:rPr>
              <w:t>18.1</w:t>
            </w:r>
            <w:r w:rsidR="003F6A21" w:rsidRPr="0030236C">
              <w:rPr>
                <w:rFonts w:ascii="Arial" w:eastAsia="Arial" w:hAnsi="Arial" w:cs="Arial"/>
                <w:color w:val="000000"/>
                <w:sz w:val="20"/>
                <w:szCs w:val="20"/>
              </w:rPr>
              <w:t xml:space="preserve">% of </w:t>
            </w:r>
            <w:r w:rsidR="003F6A21" w:rsidRPr="00EE26AB">
              <w:rPr>
                <w:rFonts w:ascii="Arial" w:eastAsia="Arial" w:hAnsi="Arial" w:cs="Arial"/>
                <w:color w:val="000000"/>
                <w:sz w:val="20"/>
                <w:szCs w:val="20"/>
                <w:highlight w:val="white"/>
              </w:rPr>
              <w:t>their peers during that period.  Our assessments and observations indicate that absenteeism is negatively impacting disadvantaged students’ progress.</w:t>
            </w:r>
          </w:p>
        </w:tc>
      </w:tr>
      <w:tr w:rsidR="0083703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highlight w:val="white"/>
              </w:rPr>
            </w:pPr>
            <w:r>
              <w:rPr>
                <w:rFonts w:ascii="Arial" w:eastAsia="Arial" w:hAnsi="Arial" w:cs="Arial"/>
                <w:highlight w:val="white"/>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szCs w:val="20"/>
                <w:highlight w:val="white"/>
              </w:rPr>
            </w:pPr>
            <w:r w:rsidRPr="00EE26AB">
              <w:rPr>
                <w:rFonts w:ascii="Arial" w:eastAsia="Arial" w:hAnsi="Arial" w:cs="Arial"/>
                <w:sz w:val="20"/>
                <w:szCs w:val="20"/>
                <w:highlight w:val="white"/>
              </w:rPr>
              <w:t>Our students continue to have limited access to opportunities outside of school and therefore their exposure to events to develop their cultural capital and raise their aspirations is limited</w:t>
            </w:r>
          </w:p>
        </w:tc>
      </w:tr>
      <w:tr w:rsidR="0083703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szCs w:val="20"/>
              </w:rPr>
            </w:pPr>
            <w:r w:rsidRPr="00EE26AB">
              <w:rPr>
                <w:rFonts w:ascii="Arial" w:eastAsia="Arial" w:hAnsi="Arial" w:cs="Arial"/>
                <w:sz w:val="20"/>
                <w:szCs w:val="20"/>
              </w:rPr>
              <w:t>Our monitoring shows that there is a high behaviour incidents and exclusion data for disadvantaged students.</w:t>
            </w:r>
          </w:p>
          <w:p w:rsidR="00837038" w:rsidRPr="00EE26AB" w:rsidRDefault="003F6A21" w:rsidP="0030236C">
            <w:pPr>
              <w:numPr>
                <w:ilvl w:val="0"/>
                <w:numId w:val="4"/>
              </w:numPr>
              <w:pBdr>
                <w:top w:val="nil"/>
                <w:left w:val="nil"/>
                <w:bottom w:val="nil"/>
                <w:right w:val="nil"/>
                <w:between w:val="nil"/>
              </w:pBdr>
              <w:spacing w:before="60" w:after="60"/>
              <w:ind w:left="537" w:right="57"/>
              <w:rPr>
                <w:rFonts w:ascii="Arial" w:eastAsia="Arial" w:hAnsi="Arial" w:cs="Arial"/>
                <w:sz w:val="20"/>
                <w:szCs w:val="20"/>
              </w:rPr>
            </w:pPr>
            <w:r w:rsidRPr="00EE26AB">
              <w:rPr>
                <w:rFonts w:ascii="Arial" w:eastAsia="Arial" w:hAnsi="Arial" w:cs="Arial"/>
                <w:sz w:val="20"/>
                <w:szCs w:val="20"/>
              </w:rPr>
              <w:t xml:space="preserve">In 2022-23 </w:t>
            </w:r>
            <w:r w:rsidR="0030236C">
              <w:rPr>
                <w:rFonts w:ascii="Arial" w:eastAsia="Arial" w:hAnsi="Arial" w:cs="Arial"/>
                <w:sz w:val="20"/>
                <w:szCs w:val="20"/>
              </w:rPr>
              <w:t>64.5%</w:t>
            </w:r>
            <w:r w:rsidRPr="00EE26AB">
              <w:rPr>
                <w:rFonts w:ascii="Arial" w:eastAsia="Arial" w:hAnsi="Arial" w:cs="Arial"/>
                <w:sz w:val="20"/>
                <w:szCs w:val="20"/>
              </w:rPr>
              <w:t xml:space="preserve"> of FTE were disadvantaged students</w:t>
            </w:r>
          </w:p>
        </w:tc>
      </w:tr>
      <w:tr w:rsidR="0083703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bookmarkStart w:id="2" w:name="_heading=h.30j0zll" w:colFirst="0" w:colLast="0"/>
            <w:bookmarkEnd w:id="2"/>
            <w:r>
              <w:rPr>
                <w:rFonts w:ascii="Arial" w:eastAsia="Arial" w:hAnsi="Arial"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spacing w:before="60" w:after="60"/>
              <w:ind w:left="35" w:right="57"/>
              <w:rPr>
                <w:rFonts w:ascii="Arial" w:eastAsia="Arial" w:hAnsi="Arial" w:cs="Arial"/>
                <w:color w:val="000000"/>
                <w:sz w:val="20"/>
                <w:szCs w:val="20"/>
              </w:rPr>
            </w:pPr>
            <w:r w:rsidRPr="00EE26AB">
              <w:rPr>
                <w:rFonts w:ascii="Arial" w:eastAsia="Arial" w:hAnsi="Arial" w:cs="Arial"/>
                <w:sz w:val="20"/>
                <w:szCs w:val="20"/>
              </w:rPr>
              <w:t>Wellbeing of students continues to be a high priority, with an increased number of referrals to pastoral programmes and external agencies during the 2022 - 2023 academic year.  The impact of school closures on student wellbeing is becoming more evident and therefore high levels of support continues to be needed.</w:t>
            </w:r>
          </w:p>
        </w:tc>
      </w:tr>
      <w:tr w:rsidR="0083703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30236C" w:rsidRDefault="003F6A21">
            <w:pPr>
              <w:pBdr>
                <w:top w:val="nil"/>
                <w:left w:val="nil"/>
                <w:bottom w:val="nil"/>
                <w:right w:val="nil"/>
                <w:between w:val="nil"/>
              </w:pBdr>
              <w:spacing w:before="60"/>
              <w:ind w:left="57" w:right="57"/>
              <w:rPr>
                <w:rFonts w:ascii="Arial" w:eastAsia="Arial" w:hAnsi="Arial" w:cs="Arial"/>
              </w:rPr>
            </w:pPr>
            <w:r w:rsidRPr="0030236C">
              <w:rPr>
                <w:rFonts w:ascii="Arial" w:eastAsia="Arial" w:hAnsi="Arial" w:cs="Arial"/>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30236C" w:rsidRDefault="003F6A21">
            <w:pPr>
              <w:spacing w:before="60" w:after="60"/>
              <w:ind w:left="35" w:right="57"/>
              <w:rPr>
                <w:rFonts w:ascii="Arial" w:eastAsia="Arial" w:hAnsi="Arial" w:cs="Arial"/>
                <w:sz w:val="20"/>
                <w:szCs w:val="20"/>
              </w:rPr>
            </w:pPr>
            <w:r w:rsidRPr="0030236C">
              <w:rPr>
                <w:rFonts w:ascii="Arial" w:eastAsia="Arial" w:hAnsi="Arial" w:cs="Arial"/>
                <w:sz w:val="20"/>
                <w:szCs w:val="20"/>
              </w:rPr>
              <w:t xml:space="preserve">A number of staff are new to the profession: </w:t>
            </w:r>
          </w:p>
          <w:p w:rsidR="00837038" w:rsidRPr="0030236C" w:rsidRDefault="003F6A21">
            <w:pPr>
              <w:spacing w:before="60" w:after="60"/>
              <w:ind w:left="35" w:right="57"/>
              <w:rPr>
                <w:rFonts w:ascii="Arial" w:eastAsia="Arial" w:hAnsi="Arial" w:cs="Arial"/>
                <w:sz w:val="20"/>
                <w:szCs w:val="20"/>
              </w:rPr>
            </w:pPr>
            <w:r w:rsidRPr="0030236C">
              <w:rPr>
                <w:rFonts w:ascii="Arial" w:eastAsia="Arial" w:hAnsi="Arial" w:cs="Arial"/>
                <w:sz w:val="20"/>
                <w:szCs w:val="20"/>
              </w:rPr>
              <w:t xml:space="preserve">7 ECTs (Year 1) and 1 Teach First trainee.   </w:t>
            </w:r>
          </w:p>
          <w:p w:rsidR="00837038" w:rsidRPr="0030236C" w:rsidRDefault="003F6A21">
            <w:pPr>
              <w:spacing w:before="60" w:after="60"/>
              <w:ind w:left="35" w:right="57"/>
              <w:rPr>
                <w:rFonts w:ascii="Arial" w:eastAsia="Arial" w:hAnsi="Arial" w:cs="Arial"/>
                <w:sz w:val="20"/>
                <w:szCs w:val="20"/>
              </w:rPr>
            </w:pPr>
            <w:r w:rsidRPr="0030236C">
              <w:rPr>
                <w:rFonts w:ascii="Arial" w:eastAsia="Arial" w:hAnsi="Arial" w:cs="Arial"/>
                <w:sz w:val="20"/>
                <w:szCs w:val="20"/>
              </w:rPr>
              <w:t>6 ECTs (Year 2)</w:t>
            </w:r>
          </w:p>
        </w:tc>
      </w:tr>
    </w:tbl>
    <w:p w:rsidR="00837038" w:rsidRDefault="00837038">
      <w:pPr>
        <w:rPr>
          <w:rFonts w:ascii="Arial" w:eastAsia="Arial" w:hAnsi="Arial" w:cs="Arial"/>
          <w:b/>
          <w:color w:val="104F75"/>
          <w:sz w:val="32"/>
          <w:szCs w:val="32"/>
        </w:rPr>
      </w:pPr>
    </w:p>
    <w:p w:rsidR="0030236C" w:rsidRDefault="0030236C" w:rsidP="0030236C">
      <w:pPr>
        <w:pStyle w:val="Heading2"/>
        <w:spacing w:before="0"/>
        <w:rPr>
          <w:rFonts w:ascii="Arial" w:eastAsia="Arial" w:hAnsi="Arial" w:cs="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Default="0030236C" w:rsidP="0030236C">
      <w:pPr>
        <w:rPr>
          <w:rFonts w:eastAsia="Arial"/>
        </w:rPr>
      </w:pPr>
    </w:p>
    <w:p w:rsidR="0030236C" w:rsidRPr="0030236C" w:rsidRDefault="0030236C" w:rsidP="0030236C">
      <w:pPr>
        <w:rPr>
          <w:rFonts w:eastAsia="Arial"/>
        </w:rPr>
      </w:pPr>
    </w:p>
    <w:p w:rsidR="0030236C" w:rsidRDefault="0030236C" w:rsidP="0030236C">
      <w:pPr>
        <w:pStyle w:val="Heading2"/>
        <w:spacing w:before="0"/>
        <w:rPr>
          <w:rFonts w:ascii="Arial" w:eastAsia="Arial" w:hAnsi="Arial" w:cs="Arial"/>
        </w:rPr>
      </w:pPr>
    </w:p>
    <w:p w:rsidR="00D42445" w:rsidRPr="00D42445" w:rsidRDefault="00D42445" w:rsidP="00D42445">
      <w:pPr>
        <w:rPr>
          <w:rFonts w:eastAsia="Arial"/>
        </w:rPr>
      </w:pPr>
    </w:p>
    <w:p w:rsidR="00837038" w:rsidRDefault="003F6A21" w:rsidP="0030236C">
      <w:pPr>
        <w:pStyle w:val="Heading2"/>
        <w:spacing w:before="0"/>
        <w:rPr>
          <w:rFonts w:ascii="Arial" w:eastAsia="Arial" w:hAnsi="Arial" w:cs="Arial"/>
        </w:rPr>
      </w:pPr>
      <w:r>
        <w:rPr>
          <w:rFonts w:ascii="Arial" w:eastAsia="Arial" w:hAnsi="Arial" w:cs="Arial"/>
        </w:rPr>
        <w:lastRenderedPageBreak/>
        <w:t xml:space="preserve">Intended outcomes </w:t>
      </w:r>
    </w:p>
    <w:p w:rsidR="00837038" w:rsidRDefault="003F6A21">
      <w:pPr>
        <w:rPr>
          <w:rFonts w:ascii="Arial" w:eastAsia="Arial" w:hAnsi="Arial" w:cs="Arial"/>
        </w:rPr>
      </w:pPr>
      <w:r>
        <w:rPr>
          <w:rFonts w:ascii="Arial" w:eastAsia="Arial" w:hAnsi="Arial" w:cs="Arial"/>
          <w:color w:val="000000"/>
        </w:rPr>
        <w:t xml:space="preserve">This explains the outcomes we are aiming for </w:t>
      </w:r>
      <w:r>
        <w:rPr>
          <w:rFonts w:ascii="Arial" w:eastAsia="Arial" w:hAnsi="Arial" w:cs="Arial"/>
          <w:b/>
          <w:color w:val="000000"/>
        </w:rPr>
        <w:t>by the end of our current strategy plan</w:t>
      </w:r>
      <w:r>
        <w:rPr>
          <w:rFonts w:ascii="Arial" w:eastAsia="Arial" w:hAnsi="Arial" w:cs="Arial"/>
          <w:color w:val="000000"/>
        </w:rPr>
        <w:t>, and how we will measure whether they have been achieved.</w:t>
      </w:r>
    </w:p>
    <w:tbl>
      <w:tblPr>
        <w:tblStyle w:val="aff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1"/>
      </w:tblGrid>
      <w:tr w:rsidR="0083703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Success criteria</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Improve attainment and progress for disadvantaged students, with particular focus on A Level results at Key Stage 5 and at Key Stage 4 the </w:t>
            </w:r>
            <w:proofErr w:type="spellStart"/>
            <w:r w:rsidRPr="00EE26AB">
              <w:rPr>
                <w:rFonts w:ascii="Arial" w:eastAsia="Arial" w:hAnsi="Arial" w:cs="Arial"/>
                <w:sz w:val="20"/>
              </w:rPr>
              <w:t>EBacc</w:t>
            </w:r>
            <w:proofErr w:type="spellEnd"/>
            <w:r w:rsidRPr="00EE26AB">
              <w:rPr>
                <w:rFonts w:ascii="Arial" w:eastAsia="Arial" w:hAnsi="Arial" w:cs="Arial"/>
                <w:sz w:val="20"/>
              </w:rPr>
              <w:t xml:space="preserve">, ensuring the P8 gap of 0.7 is reduced.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tabs>
                <w:tab w:val="left" w:pos="1545"/>
              </w:tabs>
              <w:spacing w:before="60" w:after="60"/>
              <w:ind w:right="57"/>
              <w:rPr>
                <w:rFonts w:ascii="Arial" w:eastAsia="Arial" w:hAnsi="Arial" w:cs="Arial"/>
                <w:sz w:val="20"/>
              </w:rPr>
            </w:pPr>
            <w:r w:rsidRPr="00EE26AB">
              <w:rPr>
                <w:rFonts w:ascii="Arial" w:eastAsia="Arial" w:hAnsi="Arial" w:cs="Arial"/>
                <w:sz w:val="20"/>
              </w:rPr>
              <w:t>Achieve at least national average for attainment and progress for all students.</w:t>
            </w:r>
          </w:p>
          <w:p w:rsidR="00837038" w:rsidRPr="00EE26AB" w:rsidRDefault="003F6A21">
            <w:pPr>
              <w:tabs>
                <w:tab w:val="left" w:pos="1545"/>
              </w:tabs>
              <w:spacing w:before="60" w:after="60"/>
              <w:rPr>
                <w:rFonts w:ascii="Arial" w:eastAsia="Arial" w:hAnsi="Arial" w:cs="Arial"/>
                <w:sz w:val="20"/>
              </w:rPr>
            </w:pPr>
            <w:r w:rsidRPr="00EE26AB">
              <w:rPr>
                <w:rFonts w:ascii="Arial" w:eastAsia="Arial" w:hAnsi="Arial" w:cs="Arial"/>
                <w:sz w:val="20"/>
              </w:rPr>
              <w:t>Attainment and progress gaps between disadvantaged students and non-disadvantaged students are non-existent.</w:t>
            </w:r>
          </w:p>
          <w:p w:rsidR="00837038" w:rsidRPr="00EE26AB" w:rsidRDefault="003F6A21">
            <w:pPr>
              <w:tabs>
                <w:tab w:val="left" w:pos="1545"/>
              </w:tabs>
              <w:spacing w:before="60" w:after="60"/>
              <w:rPr>
                <w:rFonts w:ascii="Arial" w:eastAsia="Arial" w:hAnsi="Arial" w:cs="Arial"/>
                <w:sz w:val="20"/>
              </w:rPr>
            </w:pPr>
            <w:r w:rsidRPr="00EE26AB">
              <w:rPr>
                <w:rFonts w:ascii="Arial" w:eastAsia="Arial" w:hAnsi="Arial" w:cs="Arial"/>
                <w:sz w:val="20"/>
              </w:rPr>
              <w:t>By the end of our current plan in 2024/25, the gap between disadvantaged and non-disadvantaged students will be eradicated, for entering the English Baccalaureate (</w:t>
            </w:r>
            <w:proofErr w:type="spellStart"/>
            <w:r w:rsidRPr="00EE26AB">
              <w:rPr>
                <w:rFonts w:ascii="Arial" w:eastAsia="Arial" w:hAnsi="Arial" w:cs="Arial"/>
                <w:sz w:val="20"/>
              </w:rPr>
              <w:t>EBacc</w:t>
            </w:r>
            <w:proofErr w:type="spellEnd"/>
            <w:r w:rsidRPr="00EE26AB">
              <w:rPr>
                <w:rFonts w:ascii="Arial" w:eastAsia="Arial" w:hAnsi="Arial" w:cs="Arial"/>
                <w:sz w:val="20"/>
              </w:rPr>
              <w:t>).</w:t>
            </w:r>
          </w:p>
          <w:p w:rsidR="00837038" w:rsidRPr="00EE26AB" w:rsidRDefault="003F6A21">
            <w:pPr>
              <w:tabs>
                <w:tab w:val="left" w:pos="1545"/>
              </w:tabs>
              <w:spacing w:before="60" w:after="60"/>
              <w:rPr>
                <w:rFonts w:ascii="Arial" w:eastAsia="Arial" w:hAnsi="Arial" w:cs="Arial"/>
                <w:sz w:val="20"/>
              </w:rPr>
            </w:pPr>
            <w:r w:rsidRPr="00EE26AB">
              <w:rPr>
                <w:rFonts w:ascii="Arial" w:eastAsia="Arial" w:hAnsi="Arial" w:cs="Arial"/>
                <w:sz w:val="20"/>
              </w:rPr>
              <w:t>In summer 2021 this figure was 21.9%.</w:t>
            </w:r>
          </w:p>
          <w:p w:rsidR="00837038" w:rsidRPr="00EE26AB" w:rsidRDefault="003F6A21">
            <w:pPr>
              <w:tabs>
                <w:tab w:val="left" w:pos="1545"/>
              </w:tabs>
              <w:spacing w:before="60" w:after="60"/>
              <w:rPr>
                <w:rFonts w:ascii="Arial" w:eastAsia="Arial" w:hAnsi="Arial" w:cs="Arial"/>
                <w:sz w:val="20"/>
              </w:rPr>
            </w:pPr>
            <w:r w:rsidRPr="00EE26AB">
              <w:rPr>
                <w:rFonts w:ascii="Arial" w:eastAsia="Arial" w:hAnsi="Arial" w:cs="Arial"/>
                <w:sz w:val="20"/>
              </w:rPr>
              <w:t>2024/25 KS4 outcomes demonstrate that disadvantaged students achieve:</w:t>
            </w:r>
          </w:p>
          <w:p w:rsidR="00837038" w:rsidRPr="00EE26AB" w:rsidRDefault="003F6A21">
            <w:pPr>
              <w:numPr>
                <w:ilvl w:val="0"/>
                <w:numId w:val="2"/>
              </w:numPr>
              <w:tabs>
                <w:tab w:val="left" w:pos="1545"/>
              </w:tabs>
              <w:spacing w:before="60" w:after="60"/>
              <w:ind w:left="425"/>
              <w:rPr>
                <w:rFonts w:ascii="Arial" w:eastAsia="Arial" w:hAnsi="Arial" w:cs="Arial"/>
                <w:sz w:val="20"/>
              </w:rPr>
            </w:pPr>
            <w:r w:rsidRPr="00EE26AB">
              <w:rPr>
                <w:rFonts w:ascii="Arial" w:eastAsia="Arial" w:hAnsi="Arial" w:cs="Arial"/>
                <w:sz w:val="20"/>
              </w:rPr>
              <w:t>an average Attainment 8 score of 47.03;</w:t>
            </w:r>
          </w:p>
          <w:p w:rsidR="00837038" w:rsidRPr="00EE26AB" w:rsidRDefault="003F6A21">
            <w:pPr>
              <w:numPr>
                <w:ilvl w:val="0"/>
                <w:numId w:val="2"/>
              </w:numPr>
              <w:tabs>
                <w:tab w:val="left" w:pos="1545"/>
              </w:tabs>
              <w:spacing w:before="60" w:after="60"/>
              <w:ind w:left="425"/>
              <w:rPr>
                <w:rFonts w:ascii="Arial" w:eastAsia="Arial" w:hAnsi="Arial" w:cs="Arial"/>
                <w:sz w:val="20"/>
              </w:rPr>
            </w:pPr>
            <w:r w:rsidRPr="00EE26AB">
              <w:rPr>
                <w:rFonts w:ascii="Arial" w:eastAsia="Arial" w:hAnsi="Arial" w:cs="Arial"/>
                <w:sz w:val="20"/>
              </w:rPr>
              <w:t>36% 5+ in English and Maths achieve by disadvantaged students;</w:t>
            </w:r>
          </w:p>
          <w:p w:rsidR="00837038" w:rsidRPr="00EE26AB" w:rsidRDefault="003F6A21">
            <w:pPr>
              <w:numPr>
                <w:ilvl w:val="0"/>
                <w:numId w:val="2"/>
              </w:numPr>
              <w:tabs>
                <w:tab w:val="left" w:pos="1545"/>
              </w:tabs>
              <w:spacing w:before="60" w:after="60"/>
              <w:ind w:left="425"/>
              <w:rPr>
                <w:rFonts w:ascii="Arial" w:eastAsia="Arial" w:hAnsi="Arial" w:cs="Arial"/>
                <w:sz w:val="20"/>
              </w:rPr>
            </w:pPr>
            <w:r w:rsidRPr="00EE26AB">
              <w:rPr>
                <w:rFonts w:ascii="Arial" w:eastAsia="Arial" w:hAnsi="Arial" w:cs="Arial"/>
                <w:sz w:val="20"/>
              </w:rPr>
              <w:t xml:space="preserve">an </w:t>
            </w:r>
            <w:proofErr w:type="spellStart"/>
            <w:r w:rsidRPr="00EE26AB">
              <w:rPr>
                <w:rFonts w:ascii="Arial" w:eastAsia="Arial" w:hAnsi="Arial" w:cs="Arial"/>
                <w:sz w:val="20"/>
              </w:rPr>
              <w:t>EBacc</w:t>
            </w:r>
            <w:proofErr w:type="spellEnd"/>
            <w:r w:rsidRPr="00EE26AB">
              <w:rPr>
                <w:rFonts w:ascii="Arial" w:eastAsia="Arial" w:hAnsi="Arial" w:cs="Arial"/>
                <w:sz w:val="20"/>
              </w:rPr>
              <w:t xml:space="preserve"> average point score of 3.93.</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75% of disadvantaged students will be entered for the </w:t>
            </w:r>
            <w:proofErr w:type="spellStart"/>
            <w:r w:rsidRPr="00EE26AB">
              <w:rPr>
                <w:rFonts w:ascii="Arial" w:eastAsia="Arial" w:hAnsi="Arial" w:cs="Arial"/>
                <w:sz w:val="20"/>
              </w:rPr>
              <w:t>EBacc</w:t>
            </w:r>
            <w:proofErr w:type="spellEnd"/>
            <w:r w:rsidRPr="00EE26AB">
              <w:rPr>
                <w:rFonts w:ascii="Arial" w:eastAsia="Arial" w:hAnsi="Arial" w:cs="Arial"/>
                <w:sz w:val="20"/>
              </w:rPr>
              <w:t>.</w:t>
            </w:r>
          </w:p>
        </w:tc>
      </w:tr>
      <w:tr w:rsidR="00837038">
        <w:trPr>
          <w:trHeight w:val="23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To achieve a sustained increase in attendance for disadvantaged students and to ensure gaps in attendance are closed and in line with the Academy target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numPr>
                <w:ilvl w:val="0"/>
                <w:numId w:val="1"/>
              </w:numPr>
              <w:spacing w:before="60"/>
              <w:ind w:left="425" w:right="57"/>
              <w:rPr>
                <w:rFonts w:ascii="Arial" w:eastAsia="Arial" w:hAnsi="Arial" w:cs="Arial"/>
                <w:sz w:val="20"/>
              </w:rPr>
            </w:pPr>
            <w:r w:rsidRPr="00EE26AB">
              <w:rPr>
                <w:rFonts w:ascii="Arial" w:eastAsia="Arial" w:hAnsi="Arial" w:cs="Arial"/>
                <w:sz w:val="20"/>
              </w:rPr>
              <w:t>Overall absence rate for all students being no more than 5% and the attendance gap between disadvantaged and non-disadvantaged students is not more than 2%</w:t>
            </w:r>
          </w:p>
          <w:p w:rsidR="00837038" w:rsidRPr="00EE26AB" w:rsidRDefault="003F6A21">
            <w:pPr>
              <w:numPr>
                <w:ilvl w:val="0"/>
                <w:numId w:val="1"/>
              </w:numPr>
              <w:pBdr>
                <w:top w:val="nil"/>
                <w:left w:val="nil"/>
                <w:bottom w:val="nil"/>
                <w:right w:val="nil"/>
                <w:between w:val="nil"/>
              </w:pBdr>
              <w:spacing w:after="60"/>
              <w:ind w:left="425" w:right="57"/>
              <w:rPr>
                <w:rFonts w:ascii="Arial" w:eastAsia="Arial" w:hAnsi="Arial" w:cs="Arial"/>
                <w:sz w:val="20"/>
              </w:rPr>
            </w:pPr>
            <w:r w:rsidRPr="00EE26AB">
              <w:rPr>
                <w:rFonts w:ascii="Arial" w:eastAsia="Arial" w:hAnsi="Arial" w:cs="Arial"/>
                <w:sz w:val="20"/>
              </w:rPr>
              <w:t>Persistent absenteeism is below 13% and the figure amongst disadvantaged students is no more than 2% higher than their peers.</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To raise the aspirations of all students, particularly amongst disadvantaged students to ensure they are aware of the opportunities available to them.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 xml:space="preserve">All disadvantaged students regularly use </w:t>
            </w:r>
            <w:proofErr w:type="spellStart"/>
            <w:r w:rsidRPr="00EE26AB">
              <w:rPr>
                <w:rFonts w:ascii="Arial" w:eastAsia="Arial" w:hAnsi="Arial" w:cs="Arial"/>
                <w:sz w:val="20"/>
              </w:rPr>
              <w:t>Unifrog</w:t>
            </w:r>
            <w:proofErr w:type="spellEnd"/>
            <w:r w:rsidRPr="00EE26AB">
              <w:rPr>
                <w:rFonts w:ascii="Arial" w:eastAsia="Arial" w:hAnsi="Arial" w:cs="Arial"/>
                <w:sz w:val="20"/>
              </w:rPr>
              <w:t xml:space="preserve"> to complete a range of tasks and log all interactions and activities.</w:t>
            </w:r>
          </w:p>
          <w:p w:rsidR="00837038" w:rsidRPr="00EE26AB" w:rsidRDefault="00837038">
            <w:pPr>
              <w:pBdr>
                <w:top w:val="nil"/>
                <w:left w:val="nil"/>
                <w:bottom w:val="nil"/>
                <w:right w:val="nil"/>
                <w:between w:val="nil"/>
              </w:pBdr>
              <w:spacing w:before="60" w:after="60"/>
              <w:ind w:right="57"/>
              <w:rPr>
                <w:rFonts w:ascii="Arial" w:eastAsia="Arial" w:hAnsi="Arial" w:cs="Arial"/>
                <w:sz w:val="20"/>
              </w:rPr>
            </w:pPr>
          </w:p>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 xml:space="preserve">All disadvantaged students have at least three meaningful experiences to raise aspirations and to include university talks and visits, guest speakers, mentoring, and encounters with employers and employees. </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To achieve sustained improvement in behaviour for all students, particularly leading to reducing incidents and suspensions for disadvantaged students without lowering the high expectations we have of students at Park Academy.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No gap exists between FTE for disadvantaged and non-disadvantaged students.</w:t>
            </w:r>
          </w:p>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Incidents of repeated behaviours are low as a result of effective pastoral interventions.</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Improve disadvantaged students’ wellbeing and increased participation in a wide range of enrichment activities offered at Park Academy. Students should be able to participate fully in academy life without the barrier of finance.</w:t>
            </w: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All disadvantaged students attend at least one extracurricular club each year and have the opportunity to participate in at least three enrichment activities per year.</w:t>
            </w:r>
          </w:p>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Student voice is used to ensure extracurricular provision matches the interests of all students, including disadvantaged students.</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To develop the capacity of new teachers to support disadvantaged students with emphasis on quality first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Learning walk data shows that all new teachers are supporting disadvantaged students.</w:t>
            </w:r>
          </w:p>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rPr>
              <w:t>All ECT pass their induction period.</w:t>
            </w:r>
          </w:p>
        </w:tc>
      </w:tr>
    </w:tbl>
    <w:p w:rsidR="0030236C" w:rsidRDefault="0030236C" w:rsidP="00EE26AB"/>
    <w:p w:rsidR="00837038" w:rsidRDefault="003F6A21" w:rsidP="00EE26AB">
      <w:pPr>
        <w:rPr>
          <w:rFonts w:ascii="Arial" w:eastAsia="Arial" w:hAnsi="Arial" w:cs="Arial"/>
        </w:rPr>
      </w:pPr>
      <w:r>
        <w:rPr>
          <w:rFonts w:ascii="Arial" w:eastAsia="Arial" w:hAnsi="Arial" w:cs="Arial"/>
        </w:rPr>
        <w:t>Activity in this academic year</w:t>
      </w:r>
    </w:p>
    <w:p w:rsidR="00837038" w:rsidRDefault="003F6A21">
      <w:pPr>
        <w:spacing w:after="120"/>
        <w:rPr>
          <w:rFonts w:ascii="Arial" w:eastAsia="Arial" w:hAnsi="Arial" w:cs="Arial"/>
        </w:rPr>
      </w:pPr>
      <w:r>
        <w:rPr>
          <w:rFonts w:ascii="Arial" w:eastAsia="Arial" w:hAnsi="Arial" w:cs="Arial"/>
        </w:rPr>
        <w:t xml:space="preserve">This details how we intend to spend our student premium (and recovery premium funding) </w:t>
      </w:r>
      <w:r>
        <w:rPr>
          <w:rFonts w:ascii="Arial" w:eastAsia="Arial" w:hAnsi="Arial" w:cs="Arial"/>
          <w:b/>
        </w:rPr>
        <w:t>this academic year</w:t>
      </w:r>
      <w:r>
        <w:rPr>
          <w:rFonts w:ascii="Arial" w:eastAsia="Arial" w:hAnsi="Arial" w:cs="Arial"/>
        </w:rPr>
        <w:t xml:space="preserve"> to address the challenges listed above.</w:t>
      </w:r>
    </w:p>
    <w:p w:rsidR="00837038" w:rsidRDefault="003F6A21">
      <w:pPr>
        <w:pStyle w:val="Heading3"/>
        <w:spacing w:before="240"/>
        <w:rPr>
          <w:rFonts w:ascii="Arial" w:eastAsia="Arial" w:hAnsi="Arial" w:cs="Arial"/>
        </w:rPr>
      </w:pPr>
      <w:r>
        <w:rPr>
          <w:rFonts w:ascii="Arial" w:eastAsia="Arial" w:hAnsi="Arial" w:cs="Arial"/>
        </w:rPr>
        <w:t>Teaching (for example, CPD, recruitment and retention)</w:t>
      </w:r>
    </w:p>
    <w:p w:rsidR="00837038" w:rsidRDefault="003F6A21">
      <w:pPr>
        <w:spacing w:after="120"/>
        <w:rPr>
          <w:rFonts w:ascii="Arial" w:eastAsia="Arial" w:hAnsi="Arial" w:cs="Arial"/>
          <w:highlight w:val="white"/>
        </w:rPr>
      </w:pPr>
      <w:r>
        <w:rPr>
          <w:rFonts w:ascii="Arial" w:eastAsia="Arial" w:hAnsi="Arial" w:cs="Arial"/>
        </w:rPr>
        <w:t>Budgeted cost: £1</w:t>
      </w:r>
      <w:r w:rsidR="00D42445">
        <w:rPr>
          <w:rFonts w:ascii="Arial" w:eastAsia="Arial" w:hAnsi="Arial" w:cs="Arial"/>
        </w:rPr>
        <w:t>5</w:t>
      </w:r>
      <w:r>
        <w:rPr>
          <w:rFonts w:ascii="Arial" w:eastAsia="Arial" w:hAnsi="Arial" w:cs="Arial"/>
        </w:rPr>
        <w:t>1,000</w:t>
      </w:r>
    </w:p>
    <w:tbl>
      <w:tblPr>
        <w:tblStyle w:val="aff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83703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Challenge number(s) addressed</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Embedding Quality First Teaching through targeted CPD, use of IRIS, paired learning walks</w:t>
            </w: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Robust strategies for teaching vocabulary and modelling language use in the classroom. Use these techniques as part of teacher modelling, explanation, and pupil practice to support your vocabulary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rPr>
            </w:pPr>
            <w:hyperlink r:id="rId9">
              <w:r w:rsidR="003F6A21" w:rsidRPr="00EE26AB">
                <w:rPr>
                  <w:rFonts w:ascii="Arial" w:eastAsia="Arial" w:hAnsi="Arial" w:cs="Arial"/>
                  <w:color w:val="1155CC"/>
                  <w:sz w:val="20"/>
                </w:rPr>
                <w:t>Supporting the attainment of disadvantaged pupils: articulating success and good practice</w:t>
              </w:r>
            </w:hyperlink>
            <w:r w:rsidR="003F6A21" w:rsidRPr="00EE26AB">
              <w:rPr>
                <w:rFonts w:ascii="Arial" w:eastAsia="Arial" w:hAnsi="Arial" w:cs="Arial"/>
                <w:color w:val="000000"/>
                <w:sz w:val="20"/>
              </w:rPr>
              <w:t xml:space="preserve"> suggests high quality teaching as a key aspect of successful schools.</w:t>
            </w:r>
          </w:p>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sz w:val="20"/>
              </w:rPr>
              <w:t xml:space="preserve">The effects of high-quality teaching are especially significant for students from disadvantaged backgrounds: over a school year, these students gain 1.5 years’ worth of learning with very effective teachers, compared with 0.5 years with poorly performing teachers </w:t>
            </w:r>
            <w:hyperlink r:id="rId10">
              <w:r w:rsidRPr="00EE26AB">
                <w:rPr>
                  <w:rFonts w:ascii="Arial" w:eastAsia="Arial" w:hAnsi="Arial" w:cs="Arial"/>
                  <w:color w:val="1155CC"/>
                  <w:sz w:val="20"/>
                  <w:u w:val="single"/>
                </w:rPr>
                <w:t>Improving the impact of teachers on pupil achievement in the UK – interim findings</w:t>
              </w:r>
            </w:hyperlink>
          </w:p>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rPr>
            </w:pPr>
            <w:hyperlink r:id="rId11">
              <w:r w:rsidR="003F6A21" w:rsidRPr="00EE26AB">
                <w:rPr>
                  <w:rFonts w:ascii="Arial" w:eastAsia="Arial" w:hAnsi="Arial" w:cs="Arial"/>
                  <w:color w:val="1155CC"/>
                  <w:sz w:val="20"/>
                  <w:u w:val="single"/>
                </w:rPr>
                <w:t>Behaviour interventions | EEF</w:t>
              </w:r>
            </w:hyperlink>
            <w:r w:rsidR="003F6A21" w:rsidRPr="00EE26AB">
              <w:rPr>
                <w:rFonts w:ascii="Arial" w:eastAsia="Arial" w:hAnsi="Arial" w:cs="Arial"/>
                <w:color w:val="000000"/>
                <w:sz w:val="20"/>
              </w:rPr>
              <w:t xml:space="preserve"> </w:t>
            </w:r>
          </w:p>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highlight w:val="white"/>
              </w:rPr>
            </w:pPr>
            <w:hyperlink r:id="rId12">
              <w:r w:rsidR="003F6A21" w:rsidRPr="00EE26AB">
                <w:rPr>
                  <w:rFonts w:ascii="Arial" w:eastAsia="Arial" w:hAnsi="Arial" w:cs="Arial"/>
                  <w:color w:val="1155CC"/>
                  <w:sz w:val="20"/>
                  <w:highlight w:val="white"/>
                  <w:u w:val="single"/>
                </w:rPr>
                <w:t>Feedback | EEF</w:t>
              </w:r>
            </w:hyperlink>
            <w:r w:rsidR="003F6A21" w:rsidRPr="00EE26AB">
              <w:rPr>
                <w:rFonts w:ascii="Arial" w:eastAsia="Arial" w:hAnsi="Arial" w:cs="Arial"/>
                <w:color w:val="000000"/>
                <w:sz w:val="20"/>
                <w:highlight w:val="white"/>
              </w:rPr>
              <w:t xml:space="preserve"> </w:t>
            </w:r>
          </w:p>
          <w:p w:rsidR="00837038" w:rsidRPr="00EE26AB" w:rsidRDefault="0070056B">
            <w:pPr>
              <w:pBdr>
                <w:top w:val="nil"/>
                <w:left w:val="nil"/>
                <w:bottom w:val="nil"/>
                <w:right w:val="nil"/>
                <w:between w:val="nil"/>
              </w:pBdr>
              <w:spacing w:before="60" w:after="60"/>
              <w:ind w:left="57" w:right="57"/>
              <w:rPr>
                <w:rFonts w:ascii="Arial" w:eastAsia="Arial" w:hAnsi="Arial" w:cs="Arial"/>
                <w:b/>
                <w:sz w:val="20"/>
              </w:rPr>
            </w:pPr>
            <w:hyperlink r:id="rId13">
              <w:r w:rsidR="003F6A21" w:rsidRPr="00EE26AB">
                <w:rPr>
                  <w:rFonts w:ascii="Arial" w:eastAsia="Arial" w:hAnsi="Arial" w:cs="Arial"/>
                  <w:color w:val="1155CC"/>
                  <w:sz w:val="20"/>
                  <w:highlight w:val="white"/>
                  <w:u w:val="single"/>
                </w:rPr>
                <w:t>Parental engagement | EEF</w:t>
              </w:r>
            </w:hyperlink>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14">
              <w:r w:rsidR="003F6A21" w:rsidRPr="00EE26AB">
                <w:rPr>
                  <w:rFonts w:ascii="Arial" w:eastAsia="Arial" w:hAnsi="Arial" w:cs="Arial"/>
                  <w:color w:val="1155CC"/>
                  <w:sz w:val="20"/>
                  <w:u w:val="single"/>
                </w:rPr>
                <w:t>https://educationendowmentfoundation.org.uk/education-evidence/guidance-reports/literacy-ks3-ks4</w:t>
              </w:r>
            </w:hyperlink>
            <w:r w:rsidR="003F6A21" w:rsidRPr="00EE26AB">
              <w:rPr>
                <w:rFonts w:ascii="Arial" w:eastAsia="Arial" w:hAnsi="Arial" w:cs="Arial"/>
                <w:sz w:val="20"/>
              </w:rPr>
              <w:t xml:space="preserve">  </w:t>
            </w:r>
            <w:hyperlink r:id="rId15">
              <w:r w:rsidR="003F6A21" w:rsidRPr="00EE26AB">
                <w:rPr>
                  <w:rFonts w:ascii="Arial" w:eastAsia="Arial" w:hAnsi="Arial" w:cs="Arial"/>
                  <w:color w:val="1155CC"/>
                  <w:sz w:val="20"/>
                  <w:u w:val="single"/>
                </w:rPr>
                <w:t>Education Endowment Foundation | EEF</w:t>
              </w:r>
            </w:hyperlink>
          </w:p>
          <w:p w:rsidR="00837038" w:rsidRPr="00EE26AB" w:rsidRDefault="0070056B">
            <w:pPr>
              <w:pBdr>
                <w:top w:val="nil"/>
                <w:left w:val="nil"/>
                <w:bottom w:val="nil"/>
                <w:right w:val="nil"/>
                <w:between w:val="nil"/>
              </w:pBdr>
              <w:spacing w:before="60" w:after="60"/>
              <w:ind w:right="57"/>
              <w:rPr>
                <w:rFonts w:ascii="Arial" w:eastAsia="Arial" w:hAnsi="Arial" w:cs="Arial"/>
                <w:sz w:val="20"/>
                <w:u w:val="single"/>
              </w:rPr>
            </w:pPr>
            <w:hyperlink r:id="rId16">
              <w:r w:rsidR="003F6A21" w:rsidRPr="00EE26AB">
                <w:rPr>
                  <w:rFonts w:ascii="Arial" w:eastAsia="Arial" w:hAnsi="Arial" w:cs="Arial"/>
                  <w:color w:val="1155CC"/>
                  <w:sz w:val="20"/>
                  <w:u w:val="single"/>
                </w:rPr>
                <w:t>https://teacherhead.com/2022/06/15/five-ways-to-secure-progress-through-modelling/</w:t>
              </w:r>
            </w:hyperlink>
            <w:r w:rsidR="003F6A21" w:rsidRPr="00EE26AB">
              <w:rPr>
                <w:rFonts w:ascii="Arial" w:eastAsia="Arial" w:hAnsi="Arial" w:cs="Arial"/>
                <w:sz w:val="20"/>
              </w:rPr>
              <w:t xml:space="preserve"> </w:t>
            </w:r>
            <w:r w:rsidR="003F6A21" w:rsidRPr="00EE26AB">
              <w:rPr>
                <w:rFonts w:ascii="Arial" w:eastAsia="Arial" w:hAnsi="Arial" w:cs="Arial"/>
                <w:sz w:val="20"/>
                <w:u w:val="single"/>
              </w:rPr>
              <w:t xml:space="preserve"> </w:t>
            </w:r>
            <w:hyperlink r:id="rId17">
              <w:r w:rsidR="003F6A21" w:rsidRPr="00EE26AB">
                <w:rPr>
                  <w:rFonts w:ascii="Arial" w:eastAsia="Arial" w:hAnsi="Arial" w:cs="Arial"/>
                  <w:color w:val="1155CC"/>
                  <w:sz w:val="20"/>
                  <w:u w:val="single"/>
                </w:rPr>
                <w:t>Tom Sherrington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1, 4, 6</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Targeted homework support to include:</w:t>
            </w:r>
          </w:p>
          <w:p w:rsidR="00837038" w:rsidRPr="00EE26AB" w:rsidRDefault="003F6A21">
            <w:pPr>
              <w:numPr>
                <w:ilvl w:val="0"/>
                <w:numId w:val="3"/>
              </w:numPr>
              <w:pBdr>
                <w:top w:val="nil"/>
                <w:left w:val="nil"/>
                <w:bottom w:val="nil"/>
                <w:right w:val="nil"/>
                <w:between w:val="nil"/>
              </w:pBdr>
              <w:spacing w:before="60"/>
              <w:ind w:left="302" w:right="57" w:hanging="237"/>
              <w:rPr>
                <w:rFonts w:ascii="Arial" w:eastAsia="Arial" w:hAnsi="Arial" w:cs="Arial"/>
                <w:color w:val="000000"/>
                <w:sz w:val="20"/>
              </w:rPr>
            </w:pPr>
            <w:r w:rsidRPr="00EE26AB">
              <w:rPr>
                <w:rFonts w:ascii="Arial" w:eastAsia="Arial" w:hAnsi="Arial" w:cs="Arial"/>
                <w:color w:val="000000"/>
                <w:sz w:val="20"/>
              </w:rPr>
              <w:t>Space available for quiet working before and after school, including computer rooms.</w:t>
            </w:r>
          </w:p>
          <w:p w:rsidR="00837038" w:rsidRPr="00EE26AB" w:rsidRDefault="003F6A21">
            <w:pPr>
              <w:numPr>
                <w:ilvl w:val="0"/>
                <w:numId w:val="3"/>
              </w:numPr>
              <w:pBdr>
                <w:top w:val="nil"/>
                <w:left w:val="nil"/>
                <w:bottom w:val="nil"/>
                <w:right w:val="nil"/>
                <w:between w:val="nil"/>
              </w:pBdr>
              <w:spacing w:after="60"/>
              <w:ind w:left="302" w:right="57" w:hanging="237"/>
              <w:rPr>
                <w:rFonts w:ascii="Arial" w:eastAsia="Arial" w:hAnsi="Arial" w:cs="Arial"/>
                <w:color w:val="000000"/>
                <w:sz w:val="20"/>
              </w:rPr>
            </w:pPr>
            <w:r w:rsidRPr="00EE26AB">
              <w:rPr>
                <w:rFonts w:ascii="Arial" w:eastAsia="Arial" w:hAnsi="Arial" w:cs="Arial"/>
                <w:color w:val="000000"/>
                <w:sz w:val="20"/>
              </w:rPr>
              <w:t>Ensure staff are aware of which students don’t have access to computers and provide alternate method for completing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shd w:val="clear" w:color="auto" w:fill="FAFAFA"/>
              </w:rPr>
            </w:pPr>
            <w:r w:rsidRPr="00EE26AB">
              <w:rPr>
                <w:rFonts w:ascii="Arial" w:eastAsia="Arial" w:hAnsi="Arial" w:cs="Arial"/>
                <w:color w:val="000000"/>
                <w:sz w:val="20"/>
                <w:shd w:val="clear" w:color="auto" w:fill="FAFAFA"/>
              </w:rPr>
              <w:t>Homework has a positive impact on average (+ 5 months), particularly with students in secondary schools.</w:t>
            </w:r>
          </w:p>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shd w:val="clear" w:color="auto" w:fill="FAFAFA"/>
              </w:rPr>
            </w:pPr>
            <w:r w:rsidRPr="00EE26AB">
              <w:rPr>
                <w:rFonts w:ascii="Arial" w:eastAsia="Arial" w:hAnsi="Arial" w:cs="Arial"/>
                <w:color w:val="000000"/>
                <w:sz w:val="20"/>
                <w:shd w:val="clear" w:color="auto" w:fill="FAFAFA"/>
              </w:rPr>
              <w:t>Homework that is linked to classroom work tends to be more effective.</w:t>
            </w:r>
          </w:p>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rPr>
            </w:pPr>
            <w:hyperlink r:id="rId18">
              <w:r w:rsidR="003F6A21" w:rsidRPr="00EE26AB">
                <w:rPr>
                  <w:rFonts w:ascii="Arial" w:eastAsia="Arial" w:hAnsi="Arial" w:cs="Arial"/>
                  <w:color w:val="1155CC"/>
                  <w:sz w:val="20"/>
                  <w:highlight w:val="white"/>
                  <w:u w:val="single"/>
                </w:rPr>
                <w:t>Homework | EEF</w:t>
              </w:r>
            </w:hyperlink>
            <w:r w:rsidR="003F6A21" w:rsidRPr="00EE26AB">
              <w:rPr>
                <w:rFonts w:ascii="Arial" w:eastAsia="Arial" w:hAnsi="Arial" w:cs="Arial"/>
                <w:color w:val="263238"/>
                <w:sz w:val="20"/>
                <w:highlight w:val="white"/>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1</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spacing w:before="60" w:after="60"/>
              <w:rPr>
                <w:rFonts w:ascii="Arial" w:eastAsia="Arial" w:hAnsi="Arial" w:cs="Arial"/>
                <w:sz w:val="20"/>
              </w:rPr>
            </w:pPr>
            <w:r w:rsidRPr="00EE26AB">
              <w:rPr>
                <w:rFonts w:ascii="Arial" w:eastAsia="Arial" w:hAnsi="Arial" w:cs="Arial"/>
                <w:color w:val="000000"/>
                <w:sz w:val="20"/>
              </w:rPr>
              <w:t>Hold regular meetings with PP Lead, SEND and Year Team Leader for Year 11 t</w:t>
            </w:r>
            <w:r w:rsidRPr="00EE26AB">
              <w:rPr>
                <w:rFonts w:ascii="Arial" w:eastAsia="Arial" w:hAnsi="Arial" w:cs="Arial"/>
                <w:sz w:val="20"/>
              </w:rPr>
              <w:t>o identify and highlight cross over students and set up targeted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263238"/>
                <w:sz w:val="20"/>
                <w:highlight w:val="white"/>
              </w:rPr>
            </w:pPr>
            <w:r w:rsidRPr="00EE26AB">
              <w:rPr>
                <w:rFonts w:ascii="Arial" w:eastAsia="Arial" w:hAnsi="Arial" w:cs="Arial"/>
                <w:color w:val="263238"/>
                <w:sz w:val="20"/>
                <w:highlight w:val="white"/>
              </w:rPr>
              <w:t xml:space="preserve">On average, individualised instruction approaches have an impact of +4 months’ additional progress </w:t>
            </w:r>
            <w:hyperlink r:id="rId19">
              <w:r w:rsidRPr="00EE26AB">
                <w:rPr>
                  <w:rFonts w:ascii="Arial" w:eastAsia="Arial" w:hAnsi="Arial" w:cs="Arial"/>
                  <w:color w:val="1155CC"/>
                  <w:sz w:val="20"/>
                  <w:highlight w:val="white"/>
                  <w:u w:val="single"/>
                </w:rPr>
                <w:t>Individualised instruction | EEF</w:t>
              </w:r>
            </w:hyperlink>
            <w:r w:rsidRPr="00EE26AB">
              <w:rPr>
                <w:rFonts w:ascii="Arial" w:eastAsia="Arial" w:hAnsi="Arial" w:cs="Arial"/>
                <w:color w:val="263238"/>
                <w:sz w:val="20"/>
                <w:highlight w:val="white"/>
              </w:rPr>
              <w:t xml:space="preserve"> </w:t>
            </w:r>
          </w:p>
          <w:p w:rsidR="00837038" w:rsidRPr="00EE26AB" w:rsidRDefault="003F6A21">
            <w:pPr>
              <w:pBdr>
                <w:top w:val="nil"/>
                <w:left w:val="nil"/>
                <w:bottom w:val="nil"/>
                <w:right w:val="nil"/>
                <w:between w:val="nil"/>
              </w:pBdr>
              <w:spacing w:before="60" w:after="60"/>
              <w:ind w:left="57" w:right="57"/>
              <w:rPr>
                <w:rFonts w:ascii="Arial" w:eastAsia="Arial" w:hAnsi="Arial" w:cs="Arial"/>
                <w:color w:val="263238"/>
                <w:sz w:val="20"/>
                <w:highlight w:val="white"/>
              </w:rPr>
            </w:pPr>
            <w:r w:rsidRPr="00EE26AB">
              <w:rPr>
                <w:rFonts w:ascii="Arial" w:eastAsia="Arial" w:hAnsi="Arial" w:cs="Arial"/>
                <w:color w:val="263238"/>
                <w:sz w:val="20"/>
                <w:highlight w:val="white"/>
              </w:rPr>
              <w:t xml:space="preserve">Research which focuses on teaching assistants who provide one to one or small group targeted interventions shows a stronger positive benefit of between +4 - 6 months on average </w:t>
            </w:r>
            <w:hyperlink r:id="rId20">
              <w:r w:rsidRPr="00EE26AB">
                <w:rPr>
                  <w:rFonts w:ascii="Arial" w:eastAsia="Arial" w:hAnsi="Arial" w:cs="Arial"/>
                  <w:color w:val="1155CC"/>
                  <w:sz w:val="20"/>
                  <w:highlight w:val="white"/>
                  <w:u w:val="single"/>
                </w:rPr>
                <w:t>Teaching Assistant Interventions | EEF</w:t>
              </w:r>
            </w:hyperlink>
            <w:r w:rsidRPr="00EE26AB">
              <w:rPr>
                <w:rFonts w:ascii="Arial" w:eastAsia="Arial" w:hAnsi="Arial" w:cs="Arial"/>
                <w:color w:val="263238"/>
                <w:sz w:val="20"/>
                <w:highlight w:val="white"/>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1</w:t>
            </w:r>
          </w:p>
        </w:tc>
      </w:tr>
    </w:tbl>
    <w:p w:rsidR="00837038" w:rsidRDefault="00837038">
      <w:pPr>
        <w:rPr>
          <w:rFonts w:ascii="Arial" w:eastAsia="Arial" w:hAnsi="Arial" w:cs="Arial"/>
          <w:b/>
          <w:color w:val="104F75"/>
          <w:sz w:val="28"/>
          <w:szCs w:val="28"/>
        </w:rPr>
      </w:pPr>
    </w:p>
    <w:p w:rsidR="00837038" w:rsidRDefault="003F6A21">
      <w:pPr>
        <w:rPr>
          <w:rFonts w:ascii="Arial" w:eastAsia="Arial" w:hAnsi="Arial" w:cs="Arial"/>
          <w:b/>
          <w:color w:val="104F75"/>
          <w:sz w:val="28"/>
          <w:szCs w:val="28"/>
        </w:rPr>
      </w:pPr>
      <w:r>
        <w:rPr>
          <w:rFonts w:ascii="Arial" w:eastAsia="Arial" w:hAnsi="Arial" w:cs="Arial"/>
          <w:b/>
          <w:color w:val="104F75"/>
          <w:sz w:val="28"/>
          <w:szCs w:val="28"/>
        </w:rPr>
        <w:t xml:space="preserve">Targeted academic support (for example, tutoring, one-to-one support structured interventions) </w:t>
      </w:r>
    </w:p>
    <w:p w:rsidR="00837038" w:rsidRDefault="003F6A21">
      <w:pPr>
        <w:rPr>
          <w:rFonts w:ascii="Arial" w:eastAsia="Arial" w:hAnsi="Arial" w:cs="Arial"/>
        </w:rPr>
      </w:pPr>
      <w:r>
        <w:rPr>
          <w:rFonts w:ascii="Arial" w:eastAsia="Arial" w:hAnsi="Arial" w:cs="Arial"/>
        </w:rPr>
        <w:t xml:space="preserve">Budgeted cost: </w:t>
      </w:r>
      <w:r w:rsidR="00D42445">
        <w:rPr>
          <w:rFonts w:ascii="Arial" w:eastAsia="Arial" w:hAnsi="Arial" w:cs="Arial"/>
        </w:rPr>
        <w:t>£105</w:t>
      </w:r>
      <w:r>
        <w:rPr>
          <w:rFonts w:ascii="Arial" w:eastAsia="Arial" w:hAnsi="Arial" w:cs="Arial"/>
        </w:rPr>
        <w:t>,000</w:t>
      </w:r>
    </w:p>
    <w:tbl>
      <w:tblPr>
        <w:tblStyle w:val="aff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83703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Challenge number(s) addressed</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Purchase revision materials/guides and strategies for all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Facilitate independent study and engage parental support. </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EEF suggest +7 months progress for metacognition and self-regulation </w:t>
            </w:r>
            <w:hyperlink r:id="rId21">
              <w:r w:rsidRPr="00EE26AB">
                <w:rPr>
                  <w:rFonts w:ascii="Arial" w:eastAsia="Arial" w:hAnsi="Arial" w:cs="Arial"/>
                  <w:color w:val="1155CC"/>
                  <w:sz w:val="20"/>
                  <w:u w:val="single"/>
                </w:rPr>
                <w:t>Metacognition and self-regulation | EEF</w:t>
              </w:r>
            </w:hyperlink>
            <w:r w:rsidRPr="00EE26AB">
              <w:rPr>
                <w:rFonts w:ascii="Arial" w:eastAsia="Arial" w:hAnsi="Arial"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1</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Increased CIAG for Year 11 students to include:</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All year 11 to have Futures Interviews followed by an Independent Advisor meeting.</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Visits to colleges and other providers.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spacing w:before="60" w:after="60"/>
              <w:rPr>
                <w:rFonts w:ascii="Arial" w:eastAsia="Arial" w:hAnsi="Arial" w:cs="Arial"/>
                <w:sz w:val="20"/>
              </w:rPr>
            </w:pPr>
            <w:r w:rsidRPr="00EE26AB">
              <w:rPr>
                <w:rFonts w:ascii="Arial" w:eastAsia="Arial" w:hAnsi="Arial" w:cs="Arial"/>
                <w:sz w:val="20"/>
              </w:rPr>
              <w:t>Raise aspirations for students with a focus on apprenticeships, further education and career advice.</w:t>
            </w:r>
          </w:p>
          <w:p w:rsidR="00837038" w:rsidRPr="00EE26AB" w:rsidRDefault="003F6A21">
            <w:pPr>
              <w:spacing w:before="60" w:after="60"/>
              <w:rPr>
                <w:rFonts w:ascii="Arial" w:eastAsia="Arial" w:hAnsi="Arial" w:cs="Arial"/>
                <w:sz w:val="20"/>
              </w:rPr>
            </w:pPr>
            <w:r w:rsidRPr="00EE26AB">
              <w:rPr>
                <w:rFonts w:ascii="Arial" w:eastAsia="Arial" w:hAnsi="Arial" w:cs="Arial"/>
                <w:sz w:val="20"/>
              </w:rPr>
              <w:t xml:space="preserve">Evidence linking raised aspirations and attainment is complex; work on raising aspirations needs to be linked to the knowledge and the skills required to achieve them </w:t>
            </w:r>
          </w:p>
          <w:p w:rsidR="00837038" w:rsidRPr="00EE26AB" w:rsidRDefault="0070056B">
            <w:pPr>
              <w:spacing w:before="60" w:after="60"/>
              <w:rPr>
                <w:rFonts w:ascii="Arial" w:eastAsia="Arial" w:hAnsi="Arial" w:cs="Arial"/>
                <w:sz w:val="20"/>
              </w:rPr>
            </w:pPr>
            <w:hyperlink r:id="rId22">
              <w:r w:rsidR="003F6A21" w:rsidRPr="00EE26AB">
                <w:rPr>
                  <w:rFonts w:ascii="Arial" w:eastAsia="Arial" w:hAnsi="Arial" w:cs="Arial"/>
                  <w:color w:val="1155CC"/>
                  <w:sz w:val="20"/>
                  <w:u w:val="single"/>
                </w:rPr>
                <w:t>Aspiration interventions | EEF</w:t>
              </w:r>
            </w:hyperlink>
            <w:r w:rsidR="003F6A21" w:rsidRPr="00EE26AB">
              <w:rPr>
                <w:rFonts w:ascii="Arial" w:eastAsia="Arial" w:hAnsi="Arial"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1, 3</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Library to encourage reading for pleasure</w:t>
            </w: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3F6A21">
            <w:pPr>
              <w:spacing w:before="60" w:after="60"/>
              <w:ind w:left="57" w:right="57"/>
              <w:rPr>
                <w:rFonts w:ascii="Arial" w:eastAsia="Arial" w:hAnsi="Arial" w:cs="Arial"/>
                <w:sz w:val="20"/>
              </w:rPr>
            </w:pPr>
            <w:r w:rsidRPr="00EE26AB">
              <w:rPr>
                <w:rFonts w:ascii="Arial" w:eastAsia="Arial" w:hAnsi="Arial" w:cs="Arial"/>
                <w:sz w:val="20"/>
              </w:rPr>
              <w:t>Tutoring Reading Programme</w:t>
            </w: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rPr>
            </w:pPr>
          </w:p>
          <w:p w:rsidR="00837038" w:rsidRPr="00EE26AB" w:rsidRDefault="00837038">
            <w:pPr>
              <w:spacing w:before="60" w:after="60"/>
              <w:ind w:left="57" w:right="57"/>
              <w:rPr>
                <w:rFonts w:ascii="Arial" w:eastAsia="Arial" w:hAnsi="Arial" w:cs="Arial"/>
                <w:sz w:val="20"/>
                <w:highlight w:val="white"/>
              </w:rPr>
            </w:pPr>
          </w:p>
          <w:p w:rsidR="00837038" w:rsidRPr="00EE26AB" w:rsidRDefault="003F6A21">
            <w:pPr>
              <w:spacing w:before="60" w:after="60"/>
              <w:ind w:left="57" w:right="57"/>
              <w:rPr>
                <w:rFonts w:ascii="Arial" w:eastAsia="Arial" w:hAnsi="Arial" w:cs="Arial"/>
                <w:sz w:val="20"/>
              </w:rPr>
            </w:pPr>
            <w:r w:rsidRPr="00EE26AB">
              <w:rPr>
                <w:rFonts w:ascii="Arial" w:eastAsia="Arial" w:hAnsi="Arial" w:cs="Arial"/>
                <w:sz w:val="20"/>
                <w:highlight w:val="white"/>
              </w:rPr>
              <w:t xml:space="preserve">Reading: pupils from disadvantaged </w:t>
            </w:r>
            <w:r w:rsidR="003B796F" w:rsidRPr="00EE26AB">
              <w:rPr>
                <w:rFonts w:ascii="Arial" w:eastAsia="Arial" w:hAnsi="Arial" w:cs="Arial"/>
                <w:sz w:val="20"/>
                <w:highlight w:val="white"/>
              </w:rPr>
              <w:t>backgrounds around</w:t>
            </w:r>
            <w:r w:rsidRPr="00EE26AB">
              <w:rPr>
                <w:rFonts w:ascii="Arial" w:eastAsia="Arial" w:hAnsi="Arial" w:cs="Arial"/>
                <w:sz w:val="20"/>
                <w:highlight w:val="white"/>
              </w:rPr>
              <w:t xml:space="preserve"> </w:t>
            </w:r>
            <w:r w:rsidRPr="00EE26AB">
              <w:rPr>
                <w:rFonts w:ascii="Arial" w:eastAsia="Arial" w:hAnsi="Arial" w:cs="Arial"/>
                <w:b/>
                <w:sz w:val="20"/>
                <w:highlight w:val="white"/>
              </w:rPr>
              <w:t>18 months</w:t>
            </w:r>
            <w:r w:rsidRPr="00EE26AB">
              <w:rPr>
                <w:rFonts w:ascii="Arial" w:eastAsia="Arial" w:hAnsi="Arial" w:cs="Arial"/>
                <w:sz w:val="20"/>
                <w:highlight w:val="white"/>
              </w:rPr>
              <w:t xml:space="preserve"> behind their peers. Following some progress, efforts to narrow the attainment gap were stalling prior to the pandemic, and in 2019, the gap was found to have increased.</w:t>
            </w:r>
          </w:p>
          <w:p w:rsidR="00837038" w:rsidRPr="00EE26AB" w:rsidRDefault="00837038">
            <w:pPr>
              <w:spacing w:before="60" w:after="60"/>
              <w:ind w:left="57" w:right="57"/>
              <w:rPr>
                <w:rFonts w:ascii="Arial" w:eastAsia="Arial" w:hAnsi="Arial" w:cs="Arial"/>
                <w:sz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lastRenderedPageBreak/>
              <w:t xml:space="preserve">Reading increases a person's understanding of their own identity, improves empathy and gives them an insight into the world view of others </w:t>
            </w:r>
            <w:hyperlink r:id="rId23">
              <w:r w:rsidRPr="00EE26AB">
                <w:rPr>
                  <w:rFonts w:ascii="Arial" w:eastAsia="Arial" w:hAnsi="Arial" w:cs="Arial"/>
                  <w:color w:val="1155CC"/>
                  <w:sz w:val="20"/>
                  <w:u w:val="single"/>
                </w:rPr>
                <w:t>Literature Review: The impact of reading for pleasure and empowerment</w:t>
              </w:r>
            </w:hyperlink>
            <w:r w:rsidRPr="00EE26AB">
              <w:rPr>
                <w:rFonts w:ascii="Arial" w:eastAsia="Arial" w:hAnsi="Arial" w:cs="Arial"/>
                <w:sz w:val="20"/>
              </w:rPr>
              <w:t xml:space="preserve"> </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Evidence suggests that there is a positive relationship between reading frequency, reading enjoyment and attainment </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24">
              <w:r w:rsidR="003F6A21" w:rsidRPr="00EE26AB">
                <w:rPr>
                  <w:rFonts w:ascii="Arial" w:eastAsia="Arial" w:hAnsi="Arial" w:cs="Arial"/>
                  <w:color w:val="1155CC"/>
                  <w:sz w:val="20"/>
                  <w:u w:val="single"/>
                </w:rPr>
                <w:t>Research evidence on reading for pleasure</w:t>
              </w:r>
            </w:hyperlink>
            <w:r w:rsidR="003F6A21" w:rsidRPr="00EE26AB">
              <w:rPr>
                <w:rFonts w:ascii="Arial" w:eastAsia="Arial" w:hAnsi="Arial" w:cs="Arial"/>
                <w:sz w:val="20"/>
              </w:rPr>
              <w:t xml:space="preserve"> </w:t>
            </w:r>
          </w:p>
          <w:p w:rsidR="00837038" w:rsidRPr="00EE26AB" w:rsidRDefault="00837038">
            <w:pPr>
              <w:pBdr>
                <w:top w:val="nil"/>
                <w:left w:val="nil"/>
                <w:bottom w:val="nil"/>
                <w:right w:val="nil"/>
                <w:between w:val="nil"/>
              </w:pBdr>
              <w:spacing w:before="60" w:after="60"/>
              <w:ind w:left="57" w:right="57"/>
              <w:rPr>
                <w:rFonts w:ascii="Arial" w:eastAsia="Arial" w:hAnsi="Arial" w:cs="Arial"/>
                <w:sz w:val="20"/>
              </w:rPr>
            </w:pP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In most tutor reading programmes there are at least two main features that are designed to support reading comprehension, and that are intended to mediate the difficulty of the texts for pupils. These approaches </w:t>
            </w:r>
            <w:proofErr w:type="spellStart"/>
            <w:proofErr w:type="gramStart"/>
            <w:r w:rsidRPr="00EE26AB">
              <w:rPr>
                <w:rFonts w:ascii="Arial" w:eastAsia="Arial" w:hAnsi="Arial" w:cs="Arial"/>
                <w:sz w:val="20"/>
              </w:rPr>
              <w:t>are:Reading</w:t>
            </w:r>
            <w:proofErr w:type="spellEnd"/>
            <w:proofErr w:type="gramEnd"/>
            <w:r w:rsidRPr="00EE26AB">
              <w:rPr>
                <w:rFonts w:ascii="Arial" w:eastAsia="Arial" w:hAnsi="Arial" w:cs="Arial"/>
                <w:sz w:val="20"/>
              </w:rPr>
              <w:t xml:space="preserve"> fluency, which comes by way of the tutor reading aloud to the class i.e. following the patterns of stress and intonation that help pupils to understand, and direct vocabulary teaching, which involves the tutor defining unfamiliar words that might affect comprehension.</w:t>
            </w:r>
          </w:p>
          <w:p w:rsidR="00837038" w:rsidRPr="00EE26AB" w:rsidRDefault="0070056B">
            <w:pPr>
              <w:pBdr>
                <w:top w:val="nil"/>
                <w:left w:val="nil"/>
                <w:bottom w:val="nil"/>
                <w:right w:val="nil"/>
                <w:between w:val="nil"/>
              </w:pBdr>
              <w:spacing w:before="60" w:after="60"/>
              <w:ind w:right="57"/>
              <w:rPr>
                <w:rFonts w:ascii="Arial" w:eastAsia="Arial" w:hAnsi="Arial" w:cs="Arial"/>
                <w:sz w:val="20"/>
              </w:rPr>
            </w:pPr>
            <w:hyperlink r:id="rId25">
              <w:r w:rsidR="003F6A21" w:rsidRPr="00EE26AB">
                <w:rPr>
                  <w:rFonts w:ascii="Arial" w:eastAsia="Arial" w:hAnsi="Arial" w:cs="Arial"/>
                  <w:color w:val="1155CC"/>
                  <w:sz w:val="20"/>
                  <w:u w:val="single"/>
                </w:rPr>
                <w:t>https://researchschool.org.uk/greenshaw/news/the-challenge-of-developing-reading-at-secondary-school</w:t>
              </w:r>
            </w:hyperlink>
            <w:r w:rsidR="003F6A21" w:rsidRPr="00EE26AB">
              <w:rPr>
                <w:rFonts w:ascii="Arial" w:eastAsia="Arial" w:hAnsi="Arial" w:cs="Arial"/>
                <w:sz w:val="20"/>
              </w:rPr>
              <w:t xml:space="preserve"> </w:t>
            </w:r>
          </w:p>
          <w:p w:rsidR="00837038" w:rsidRPr="00EE26AB" w:rsidRDefault="0070056B">
            <w:pPr>
              <w:pBdr>
                <w:top w:val="nil"/>
                <w:left w:val="nil"/>
                <w:bottom w:val="nil"/>
                <w:right w:val="nil"/>
                <w:between w:val="nil"/>
              </w:pBdr>
              <w:spacing w:before="60" w:after="60"/>
              <w:ind w:right="57"/>
              <w:rPr>
                <w:rFonts w:ascii="Arial" w:eastAsia="Arial" w:hAnsi="Arial" w:cs="Arial"/>
                <w:sz w:val="20"/>
              </w:rPr>
            </w:pPr>
            <w:hyperlink r:id="rId26">
              <w:r w:rsidR="003F6A21" w:rsidRPr="00EE26AB">
                <w:rPr>
                  <w:rFonts w:ascii="Arial" w:eastAsia="Arial" w:hAnsi="Arial" w:cs="Arial"/>
                  <w:color w:val="1155CC"/>
                  <w:sz w:val="20"/>
                  <w:u w:val="single"/>
                </w:rPr>
                <w:t>https://reports.gl-assessment.co.uk/whyreading/</w:t>
              </w:r>
            </w:hyperlink>
            <w:r w:rsidR="003F6A21" w:rsidRPr="00EE26AB">
              <w:rPr>
                <w:rFonts w:ascii="Arial" w:eastAsia="Arial" w:hAnsi="Arial" w:cs="Arial"/>
                <w:sz w:val="20"/>
              </w:rPr>
              <w:t xml:space="preserve"> </w:t>
            </w:r>
          </w:p>
          <w:p w:rsidR="00837038" w:rsidRPr="00EE26AB" w:rsidRDefault="0070056B">
            <w:pPr>
              <w:pBdr>
                <w:top w:val="nil"/>
                <w:left w:val="nil"/>
                <w:bottom w:val="nil"/>
                <w:right w:val="nil"/>
                <w:between w:val="nil"/>
              </w:pBdr>
              <w:spacing w:before="60" w:after="60"/>
              <w:ind w:right="57"/>
              <w:rPr>
                <w:rFonts w:ascii="Arial" w:eastAsia="Arial" w:hAnsi="Arial" w:cs="Arial"/>
                <w:sz w:val="20"/>
              </w:rPr>
            </w:pPr>
            <w:hyperlink r:id="rId27">
              <w:r w:rsidR="003F6A21" w:rsidRPr="00EE26AB">
                <w:rPr>
                  <w:rFonts w:ascii="Arial" w:eastAsia="Arial" w:hAnsi="Arial" w:cs="Arial"/>
                  <w:color w:val="1155CC"/>
                  <w:sz w:val="20"/>
                  <w:u w:val="single"/>
                </w:rPr>
                <w:t>https://literacytrust.org.uk/research-services/research-reports/children-and-young-peoples-reading-engagement-in-2022/</w:t>
              </w:r>
            </w:hyperlink>
            <w:r w:rsidR="003F6A21" w:rsidRPr="00EE26AB">
              <w:rPr>
                <w:rFonts w:ascii="Arial" w:eastAsia="Arial" w:hAnsi="Arial" w:cs="Arial"/>
                <w:sz w:val="20"/>
              </w:rPr>
              <w:t xml:space="preserve"> </w:t>
            </w:r>
          </w:p>
          <w:p w:rsidR="00837038" w:rsidRPr="00EE26AB" w:rsidRDefault="0070056B">
            <w:pPr>
              <w:pBdr>
                <w:top w:val="nil"/>
                <w:left w:val="nil"/>
                <w:bottom w:val="nil"/>
                <w:right w:val="nil"/>
                <w:between w:val="nil"/>
              </w:pBdr>
              <w:spacing w:before="60" w:after="60"/>
              <w:ind w:right="57"/>
              <w:rPr>
                <w:rFonts w:ascii="Arial" w:eastAsia="Arial" w:hAnsi="Arial" w:cs="Arial"/>
                <w:sz w:val="20"/>
              </w:rPr>
            </w:pPr>
            <w:hyperlink r:id="rId28">
              <w:r w:rsidR="003F6A21" w:rsidRPr="00EE26AB">
                <w:rPr>
                  <w:rFonts w:ascii="Arial" w:eastAsia="Arial" w:hAnsi="Arial" w:cs="Arial"/>
                  <w:color w:val="1155CC"/>
                  <w:sz w:val="20"/>
                  <w:u w:val="single"/>
                </w:rPr>
                <w:t>https://journals.sagepub.com/doi/10.1177/074193258600700104</w:t>
              </w:r>
            </w:hyperlink>
            <w:r w:rsidR="003F6A21" w:rsidRPr="00EE26AB">
              <w:rPr>
                <w:rFonts w:ascii="Arial" w:eastAsia="Arial" w:hAnsi="Arial" w:cs="Arial"/>
                <w:sz w:val="20"/>
              </w:rPr>
              <w:t xml:space="preserve"> </w:t>
            </w:r>
          </w:p>
          <w:p w:rsidR="00837038" w:rsidRPr="00EE26AB" w:rsidRDefault="0070056B">
            <w:pPr>
              <w:pBdr>
                <w:top w:val="nil"/>
                <w:left w:val="nil"/>
                <w:bottom w:val="nil"/>
                <w:right w:val="nil"/>
                <w:between w:val="nil"/>
              </w:pBdr>
              <w:spacing w:before="60" w:after="60"/>
              <w:ind w:right="57"/>
              <w:rPr>
                <w:rFonts w:ascii="Arial" w:eastAsia="Arial" w:hAnsi="Arial" w:cs="Arial"/>
                <w:sz w:val="20"/>
              </w:rPr>
            </w:pPr>
            <w:hyperlink r:id="rId29">
              <w:r w:rsidR="003F6A21" w:rsidRPr="00EE26AB">
                <w:rPr>
                  <w:rFonts w:ascii="Arial" w:eastAsia="Arial" w:hAnsi="Arial" w:cs="Arial"/>
                  <w:color w:val="1155CC"/>
                  <w:sz w:val="20"/>
                  <w:u w:val="single"/>
                </w:rPr>
                <w:t>https://www.dret.co.uk/DRET-Reads/</w:t>
              </w:r>
            </w:hyperlink>
          </w:p>
          <w:p w:rsidR="00837038" w:rsidRPr="00EE26AB" w:rsidRDefault="00837038">
            <w:pPr>
              <w:pBdr>
                <w:top w:val="nil"/>
                <w:left w:val="nil"/>
                <w:bottom w:val="nil"/>
                <w:right w:val="nil"/>
                <w:between w:val="nil"/>
              </w:pBdr>
              <w:spacing w:before="60" w:after="60"/>
              <w:ind w:right="57"/>
              <w:rPr>
                <w:rFonts w:ascii="Arial" w:eastAsia="Arial" w:hAnsi="Arial" w:cs="Arial"/>
                <w:sz w:val="20"/>
              </w:rPr>
            </w:pPr>
          </w:p>
          <w:p w:rsidR="00837038" w:rsidRPr="00EE26AB" w:rsidRDefault="003F6A21">
            <w:pPr>
              <w:pBdr>
                <w:top w:val="nil"/>
                <w:left w:val="nil"/>
                <w:bottom w:val="nil"/>
                <w:right w:val="nil"/>
                <w:between w:val="nil"/>
              </w:pBdr>
              <w:spacing w:before="60" w:after="60"/>
              <w:ind w:right="57"/>
              <w:rPr>
                <w:rFonts w:ascii="Arial" w:eastAsia="Arial" w:hAnsi="Arial" w:cs="Arial"/>
                <w:sz w:val="20"/>
              </w:rPr>
            </w:pPr>
            <w:r w:rsidRPr="00EE26AB">
              <w:rPr>
                <w:rFonts w:ascii="Arial" w:eastAsia="Arial" w:hAnsi="Arial" w:cs="Arial"/>
                <w:sz w:val="20"/>
                <w:highlight w:val="white"/>
              </w:rPr>
              <w:lastRenderedPageBreak/>
              <w:t xml:space="preserve">Secondary schools with a high proportion of pupils from disadvantaged backgrounds had learning losses 50% higher than those serving fewer pupils from disadvantaged backgrounds (2.2 </w:t>
            </w:r>
            <w:proofErr w:type="gramStart"/>
            <w:r w:rsidRPr="00EE26AB">
              <w:rPr>
                <w:rFonts w:ascii="Arial" w:eastAsia="Arial" w:hAnsi="Arial" w:cs="Arial"/>
                <w:sz w:val="20"/>
                <w:highlight w:val="white"/>
              </w:rPr>
              <w:t>months</w:t>
            </w:r>
            <w:proofErr w:type="gramEnd"/>
            <w:r w:rsidRPr="00EE26AB">
              <w:rPr>
                <w:rFonts w:ascii="Arial" w:eastAsia="Arial" w:hAnsi="Arial" w:cs="Arial"/>
                <w:sz w:val="20"/>
                <w:highlight w:val="white"/>
              </w:rPr>
              <w:t xml:space="preserve"> vs 1.5 months). This indicated that the principle, if not the extent, of the predicted widening of the attainment gap.</w:t>
            </w:r>
          </w:p>
          <w:p w:rsidR="00837038" w:rsidRPr="00EE26AB" w:rsidRDefault="0070056B">
            <w:pPr>
              <w:pBdr>
                <w:top w:val="nil"/>
                <w:left w:val="nil"/>
                <w:bottom w:val="nil"/>
                <w:right w:val="nil"/>
                <w:between w:val="nil"/>
              </w:pBdr>
              <w:spacing w:before="60" w:after="60"/>
              <w:ind w:right="57"/>
              <w:rPr>
                <w:rFonts w:ascii="Arial" w:eastAsia="Arial" w:hAnsi="Arial" w:cs="Arial"/>
                <w:color w:val="0B5394"/>
                <w:sz w:val="20"/>
              </w:rPr>
            </w:pPr>
            <w:hyperlink r:id="rId30">
              <w:r w:rsidR="003F6A21" w:rsidRPr="00EE26AB">
                <w:rPr>
                  <w:rFonts w:ascii="Arial" w:eastAsia="Arial" w:hAnsi="Arial" w:cs="Arial"/>
                  <w:color w:val="1155CC"/>
                  <w:sz w:val="20"/>
                  <w:u w:val="single"/>
                </w:rPr>
                <w:t>https://epi.org.uk/publications-and-research/education-in-england-annual-report-2020/</w:t>
              </w:r>
            </w:hyperlink>
            <w:r w:rsidR="003F6A21" w:rsidRPr="00EE26AB">
              <w:rPr>
                <w:rFonts w:ascii="Arial" w:eastAsia="Arial" w:hAnsi="Arial" w:cs="Arial"/>
                <w:sz w:val="20"/>
              </w:rPr>
              <w:t xml:space="preserve">  </w:t>
            </w:r>
            <w:hyperlink r:id="rId31">
              <w:r w:rsidR="003F6A21" w:rsidRPr="00EE26AB">
                <w:rPr>
                  <w:rFonts w:ascii="Arial" w:eastAsia="Arial" w:hAnsi="Arial" w:cs="Arial"/>
                  <w:color w:val="0B5394"/>
                  <w:sz w:val="20"/>
                  <w:highlight w:val="white"/>
                  <w:u w:val="single"/>
                </w:rPr>
                <w:t>Hutchinson et al., 2020</w:t>
              </w:r>
            </w:hyperlink>
          </w:p>
          <w:p w:rsidR="00837038" w:rsidRPr="00EE26AB" w:rsidRDefault="0070056B">
            <w:pPr>
              <w:pBdr>
                <w:top w:val="nil"/>
                <w:left w:val="nil"/>
                <w:bottom w:val="nil"/>
                <w:right w:val="nil"/>
                <w:between w:val="nil"/>
              </w:pBdr>
              <w:spacing w:before="60" w:after="60"/>
              <w:ind w:right="57"/>
              <w:rPr>
                <w:rFonts w:ascii="Arial" w:eastAsia="Arial" w:hAnsi="Arial" w:cs="Arial"/>
                <w:color w:val="0000FF"/>
                <w:sz w:val="20"/>
              </w:rPr>
            </w:pPr>
            <w:hyperlink r:id="rId32">
              <w:r w:rsidR="003F6A21" w:rsidRPr="00EE26AB">
                <w:rPr>
                  <w:rFonts w:ascii="Arial" w:eastAsia="Arial" w:hAnsi="Arial" w:cs="Arial"/>
                  <w:color w:val="1155CC"/>
                  <w:sz w:val="20"/>
                  <w:u w:val="single"/>
                </w:rPr>
                <w:t>https://blog.nomoremarking.com/progress-in-2020-21-a-summary-of-our-assessments-so-far-f32e42add6f0</w:t>
              </w:r>
            </w:hyperlink>
            <w:r w:rsidR="003F6A21" w:rsidRPr="00EE26AB">
              <w:rPr>
                <w:rFonts w:ascii="Arial" w:eastAsia="Arial" w:hAnsi="Arial" w:cs="Arial"/>
                <w:color w:val="0B5394"/>
                <w:sz w:val="20"/>
              </w:rPr>
              <w:t xml:space="preserve">  </w:t>
            </w:r>
            <w:hyperlink r:id="rId33">
              <w:r w:rsidR="003F6A21" w:rsidRPr="00EE26AB">
                <w:rPr>
                  <w:rFonts w:ascii="Helvetica Neue" w:eastAsia="Helvetica Neue" w:hAnsi="Helvetica Neue" w:cs="Helvetica Neue"/>
                  <w:color w:val="0000FF"/>
                  <w:sz w:val="20"/>
                  <w:highlight w:val="white"/>
                </w:rPr>
                <w:t>Daisy Christodoulou</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lastRenderedPageBreak/>
              <w:t>1</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lastRenderedPageBreak/>
              <w:t>Engage in the National Tutoring Programme (NTP)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shd w:val="clear" w:color="auto" w:fill="FAFAFA"/>
              </w:rPr>
            </w:pPr>
            <w:r w:rsidRPr="00EE26AB">
              <w:rPr>
                <w:rFonts w:ascii="Arial" w:eastAsia="Arial" w:hAnsi="Arial" w:cs="Arial"/>
                <w:color w:val="000000"/>
                <w:sz w:val="20"/>
                <w:shd w:val="clear" w:color="auto" w:fill="FAFAFA"/>
              </w:rPr>
              <w:t xml:space="preserve">One to one tuition and small group tuition are both effective interventions, with small group tuition more cost effective.  Small group tuition has an average impact of +4 months’ additional progress over the course of a year, with low attaining pupils particularly benefitting </w:t>
            </w:r>
          </w:p>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rPr>
            </w:pPr>
            <w:hyperlink r:id="rId34">
              <w:r w:rsidR="003F6A21" w:rsidRPr="00EE26AB">
                <w:rPr>
                  <w:rFonts w:ascii="Arial" w:eastAsia="Arial" w:hAnsi="Arial" w:cs="Arial"/>
                  <w:color w:val="1155CC"/>
                  <w:sz w:val="20"/>
                  <w:u w:val="single"/>
                  <w:shd w:val="clear" w:color="auto" w:fill="FAFAFA"/>
                </w:rPr>
                <w:t>Small group tuition | EEF</w:t>
              </w:r>
            </w:hyperlink>
            <w:r w:rsidR="003F6A21" w:rsidRPr="00EE26AB">
              <w:rPr>
                <w:rFonts w:ascii="Arial" w:eastAsia="Arial" w:hAnsi="Arial" w:cs="Arial"/>
                <w:color w:val="000000"/>
                <w:sz w:val="20"/>
                <w:shd w:val="clear" w:color="auto" w:fill="FAFAFA"/>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837038">
            <w:pPr>
              <w:pBdr>
                <w:top w:val="nil"/>
                <w:left w:val="nil"/>
                <w:bottom w:val="nil"/>
                <w:right w:val="nil"/>
                <w:between w:val="nil"/>
              </w:pBdr>
              <w:spacing w:before="60" w:after="60"/>
              <w:ind w:left="57" w:right="57"/>
              <w:rPr>
                <w:rFonts w:ascii="Arial" w:eastAsia="Arial" w:hAnsi="Arial" w:cs="Arial"/>
                <w:color w:val="000000"/>
                <w:sz w:val="20"/>
              </w:rPr>
            </w:pPr>
          </w:p>
        </w:tc>
      </w:tr>
    </w:tbl>
    <w:p w:rsidR="00837038" w:rsidRDefault="00837038">
      <w:pPr>
        <w:rPr>
          <w:rFonts w:ascii="Arial" w:eastAsia="Arial" w:hAnsi="Arial" w:cs="Arial"/>
          <w:b/>
          <w:color w:val="104F75"/>
          <w:sz w:val="22"/>
          <w:szCs w:val="22"/>
        </w:rPr>
      </w:pPr>
    </w:p>
    <w:p w:rsidR="00837038" w:rsidRDefault="00837038">
      <w:pPr>
        <w:rPr>
          <w:rFonts w:ascii="Arial" w:eastAsia="Arial" w:hAnsi="Arial" w:cs="Arial"/>
          <w:b/>
          <w:color w:val="104F75"/>
          <w:sz w:val="28"/>
          <w:szCs w:val="28"/>
        </w:rPr>
      </w:pPr>
    </w:p>
    <w:p w:rsidR="00837038" w:rsidRDefault="003F6A21">
      <w:pPr>
        <w:rPr>
          <w:rFonts w:ascii="Arial" w:eastAsia="Arial" w:hAnsi="Arial" w:cs="Arial"/>
          <w:b/>
          <w:color w:val="104F75"/>
          <w:sz w:val="28"/>
          <w:szCs w:val="28"/>
        </w:rPr>
      </w:pPr>
      <w:bookmarkStart w:id="3" w:name="_heading=h.1fob9te" w:colFirst="0" w:colLast="0"/>
      <w:bookmarkEnd w:id="3"/>
      <w:r>
        <w:rPr>
          <w:rFonts w:ascii="Arial" w:eastAsia="Arial" w:hAnsi="Arial" w:cs="Arial"/>
          <w:b/>
          <w:color w:val="104F75"/>
          <w:sz w:val="28"/>
          <w:szCs w:val="28"/>
        </w:rPr>
        <w:t>Wider strategies (for example, related to attendance, behaviour, wellbeing)</w:t>
      </w:r>
    </w:p>
    <w:p w:rsidR="00837038" w:rsidRDefault="00D42445">
      <w:pPr>
        <w:rPr>
          <w:rFonts w:ascii="Arial" w:eastAsia="Arial" w:hAnsi="Arial" w:cs="Arial"/>
        </w:rPr>
      </w:pPr>
      <w:r>
        <w:rPr>
          <w:rFonts w:ascii="Arial" w:eastAsia="Arial" w:hAnsi="Arial" w:cs="Arial"/>
        </w:rPr>
        <w:t>Budgeted cost: £116,877</w:t>
      </w:r>
    </w:p>
    <w:tbl>
      <w:tblPr>
        <w:tblStyle w:val="af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83703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Challenge number(s) addressed</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Staff of Breakfast Club to ensure disadvantaged students have the opportunity to have breakfast each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shd w:val="clear" w:color="auto" w:fill="FFFFFF"/>
              <w:spacing w:before="60" w:after="60"/>
              <w:rPr>
                <w:rFonts w:ascii="Arial" w:eastAsia="Arial" w:hAnsi="Arial" w:cs="Arial"/>
                <w:color w:val="000000"/>
                <w:sz w:val="20"/>
              </w:rPr>
            </w:pPr>
            <w:r w:rsidRPr="00EE26AB">
              <w:rPr>
                <w:rFonts w:ascii="Arial" w:eastAsia="Arial" w:hAnsi="Arial" w:cs="Arial"/>
                <w:color w:val="000000"/>
                <w:sz w:val="20"/>
              </w:rPr>
              <w:t>Breakfast consumption in children has been found to:</w:t>
            </w:r>
          </w:p>
          <w:p w:rsidR="00837038" w:rsidRPr="00EE26AB" w:rsidRDefault="003F6A21">
            <w:pPr>
              <w:numPr>
                <w:ilvl w:val="0"/>
                <w:numId w:val="5"/>
              </w:numPr>
              <w:shd w:val="clear" w:color="auto" w:fill="FFFFFF"/>
              <w:spacing w:before="60" w:after="60"/>
              <w:ind w:left="318" w:hanging="218"/>
              <w:rPr>
                <w:rFonts w:ascii="Arial" w:eastAsia="Arial" w:hAnsi="Arial" w:cs="Arial"/>
                <w:color w:val="000000"/>
                <w:sz w:val="20"/>
              </w:rPr>
            </w:pPr>
            <w:r w:rsidRPr="00EE26AB">
              <w:rPr>
                <w:rFonts w:ascii="Arial" w:eastAsia="Arial" w:hAnsi="Arial" w:cs="Arial"/>
                <w:color w:val="000000"/>
                <w:sz w:val="20"/>
              </w:rPr>
              <w:t>Improve cognitive function, particularly memory, attention, and executive function</w:t>
            </w:r>
          </w:p>
          <w:p w:rsidR="00837038" w:rsidRPr="00EE26AB" w:rsidRDefault="003F6A21">
            <w:pPr>
              <w:numPr>
                <w:ilvl w:val="0"/>
                <w:numId w:val="5"/>
              </w:numPr>
              <w:shd w:val="clear" w:color="auto" w:fill="FFFFFF"/>
              <w:spacing w:before="60" w:after="60"/>
              <w:ind w:left="318" w:hanging="218"/>
              <w:rPr>
                <w:rFonts w:ascii="Arial" w:eastAsia="Arial" w:hAnsi="Arial" w:cs="Arial"/>
                <w:color w:val="000000"/>
                <w:sz w:val="20"/>
              </w:rPr>
            </w:pPr>
            <w:r w:rsidRPr="00EE26AB">
              <w:rPr>
                <w:rFonts w:ascii="Arial" w:eastAsia="Arial" w:hAnsi="Arial" w:cs="Arial"/>
                <w:color w:val="000000"/>
                <w:sz w:val="20"/>
              </w:rPr>
              <w:t>Improve academic performance, including school grades and achievement test scores</w:t>
            </w:r>
          </w:p>
          <w:p w:rsidR="00837038" w:rsidRPr="00EE26AB" w:rsidRDefault="003F6A21">
            <w:pPr>
              <w:numPr>
                <w:ilvl w:val="0"/>
                <w:numId w:val="5"/>
              </w:numPr>
              <w:shd w:val="clear" w:color="auto" w:fill="FFFFFF"/>
              <w:spacing w:before="60" w:after="60"/>
              <w:ind w:left="318" w:hanging="218"/>
              <w:rPr>
                <w:rFonts w:ascii="Arial" w:eastAsia="Arial" w:hAnsi="Arial" w:cs="Arial"/>
                <w:color w:val="000000"/>
                <w:sz w:val="20"/>
              </w:rPr>
            </w:pPr>
            <w:r w:rsidRPr="00EE26AB">
              <w:rPr>
                <w:rFonts w:ascii="Arial" w:eastAsia="Arial" w:hAnsi="Arial" w:cs="Arial"/>
                <w:color w:val="000000"/>
                <w:sz w:val="20"/>
              </w:rPr>
              <w:t>Increase on-task behaviour in the class</w:t>
            </w:r>
          </w:p>
          <w:p w:rsidR="00837038" w:rsidRPr="00EE26AB" w:rsidRDefault="0070056B">
            <w:pPr>
              <w:pBdr>
                <w:top w:val="nil"/>
                <w:left w:val="nil"/>
                <w:bottom w:val="nil"/>
                <w:right w:val="nil"/>
                <w:between w:val="nil"/>
              </w:pBdr>
              <w:spacing w:before="60" w:after="60"/>
              <w:ind w:left="57" w:right="57"/>
              <w:rPr>
                <w:rFonts w:ascii="Arial" w:eastAsia="Arial" w:hAnsi="Arial" w:cs="Arial"/>
                <w:color w:val="000000"/>
                <w:sz w:val="20"/>
              </w:rPr>
            </w:pPr>
            <w:hyperlink r:id="rId35">
              <w:r w:rsidR="003F6A21" w:rsidRPr="00EE26AB">
                <w:rPr>
                  <w:rFonts w:ascii="Arial" w:eastAsia="Arial" w:hAnsi="Arial" w:cs="Arial"/>
                  <w:color w:val="1155CC"/>
                  <w:sz w:val="20"/>
                  <w:u w:val="single"/>
                </w:rPr>
                <w:t>The impact of breakfast on learning in children</w:t>
              </w:r>
            </w:hyperlink>
            <w:r w:rsidR="003F6A21" w:rsidRPr="00EE26AB">
              <w:rPr>
                <w:rFonts w:ascii="Arial" w:eastAsia="Arial" w:hAnsi="Arial" w:cs="Arial"/>
                <w:color w:val="000000"/>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color w:val="000000"/>
                <w:sz w:val="20"/>
              </w:rPr>
            </w:pPr>
            <w:r w:rsidRPr="00EE26AB">
              <w:rPr>
                <w:rFonts w:ascii="Arial" w:eastAsia="Arial" w:hAnsi="Arial" w:cs="Arial"/>
                <w:color w:val="000000"/>
                <w:sz w:val="20"/>
              </w:rPr>
              <w:t>1, 4, 5</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Use the Pastoral Team to positively reinforce attitudes to learning, including mentoring.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Mentoring can have a positive impact on academic outcome, and some studies show more positive impacts for disadvantaged students </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36">
              <w:r w:rsidR="003F6A21" w:rsidRPr="00EE26AB">
                <w:rPr>
                  <w:rFonts w:ascii="Arial" w:eastAsia="Arial" w:hAnsi="Arial" w:cs="Arial"/>
                  <w:color w:val="1155CC"/>
                  <w:sz w:val="20"/>
                  <w:u w:val="single"/>
                </w:rPr>
                <w:t>Mentoring | EEF</w:t>
              </w:r>
            </w:hyperlink>
            <w:r w:rsidR="003F6A21" w:rsidRPr="00EE26AB">
              <w:rPr>
                <w:rFonts w:ascii="Arial" w:eastAsia="Arial" w:hAnsi="Arial"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1, 4, 5</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i/>
                <w:sz w:val="20"/>
              </w:rPr>
            </w:pPr>
            <w:r w:rsidRPr="00EE26AB">
              <w:rPr>
                <w:rFonts w:ascii="Arial" w:eastAsia="Arial" w:hAnsi="Arial" w:cs="Arial"/>
                <w:sz w:val="20"/>
              </w:rPr>
              <w:t>Offer consistency through a whole school behaviour policy.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Creates a purposeful learning environment for all students. </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Clear expectations and boundaries for students </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37">
              <w:r w:rsidR="003F6A21" w:rsidRPr="00EE26AB">
                <w:rPr>
                  <w:rFonts w:ascii="Arial" w:eastAsia="Arial" w:hAnsi="Arial" w:cs="Arial"/>
                  <w:color w:val="1155CC"/>
                  <w:sz w:val="20"/>
                  <w:u w:val="single"/>
                </w:rPr>
                <w:t>Improving Behaviour in Schools | EEF</w:t>
              </w:r>
            </w:hyperlink>
            <w:r w:rsidR="003F6A21" w:rsidRPr="00EE26AB">
              <w:rPr>
                <w:rFonts w:ascii="Arial" w:eastAsia="Arial" w:hAnsi="Arial" w:cs="Arial"/>
                <w:sz w:val="20"/>
              </w:rPr>
              <w:t xml:space="preserve"> </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The average impact of behaviour interventions is +4 </w:t>
            </w:r>
            <w:proofErr w:type="gramStart"/>
            <w:r w:rsidRPr="00EE26AB">
              <w:rPr>
                <w:rFonts w:ascii="Arial" w:eastAsia="Arial" w:hAnsi="Arial" w:cs="Arial"/>
                <w:sz w:val="20"/>
              </w:rPr>
              <w:t>months</w:t>
            </w:r>
            <w:proofErr w:type="gramEnd"/>
            <w:r w:rsidRPr="00EE26AB">
              <w:rPr>
                <w:rFonts w:ascii="Arial" w:eastAsia="Arial" w:hAnsi="Arial" w:cs="Arial"/>
                <w:sz w:val="20"/>
              </w:rPr>
              <w:t xml:space="preserve"> progress over the course of a year. Evidence suggests that, on average, behaviour interventions can produce moderate improvements in academic performance along with a decrease in problematic behaviours.</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38">
              <w:r w:rsidR="003F6A21" w:rsidRPr="00EE26AB">
                <w:rPr>
                  <w:rFonts w:ascii="Arial" w:eastAsia="Arial" w:hAnsi="Arial" w:cs="Arial"/>
                  <w:color w:val="1155CC"/>
                  <w:sz w:val="20"/>
                  <w:u w:val="single"/>
                </w:rPr>
                <w:t>Behaviour interventions | EEF</w:t>
              </w:r>
            </w:hyperlink>
            <w:r w:rsidR="003F6A21" w:rsidRPr="00EE26AB">
              <w:rPr>
                <w:rFonts w:ascii="Arial" w:eastAsia="Arial" w:hAnsi="Arial"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lastRenderedPageBreak/>
              <w:t>4, 6</w:t>
            </w:r>
          </w:p>
        </w:tc>
      </w:tr>
      <w:tr w:rsidR="00837038">
        <w:trPr>
          <w:trHeight w:val="459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lastRenderedPageBreak/>
              <w:t xml:space="preserve">Embed the attendance Intervention Programme including a system of rewards and incentives for improved attendance to school. </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Personalised rewards and recognition to ensure whole school profile raised.</w:t>
            </w:r>
          </w:p>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Use of the LA Participation Team</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The Department for Education (</w:t>
            </w:r>
            <w:proofErr w:type="spellStart"/>
            <w:r w:rsidRPr="00EE26AB">
              <w:rPr>
                <w:rFonts w:ascii="Arial" w:eastAsia="Arial" w:hAnsi="Arial" w:cs="Arial"/>
                <w:sz w:val="20"/>
              </w:rPr>
              <w:t>DfE</w:t>
            </w:r>
            <w:proofErr w:type="spellEnd"/>
            <w:r w:rsidRPr="00EE26AB">
              <w:rPr>
                <w:rFonts w:ascii="Arial" w:eastAsia="Arial" w:hAnsi="Arial" w:cs="Arial"/>
                <w:sz w:val="20"/>
              </w:rPr>
              <w:t xml:space="preserve">) published research in 2016 which found that: </w:t>
            </w:r>
          </w:p>
          <w:p w:rsidR="00837038" w:rsidRPr="00EE26AB" w:rsidRDefault="003F6A21">
            <w:pPr>
              <w:numPr>
                <w:ilvl w:val="0"/>
                <w:numId w:val="6"/>
              </w:numPr>
              <w:pBdr>
                <w:top w:val="nil"/>
                <w:left w:val="nil"/>
                <w:bottom w:val="nil"/>
                <w:right w:val="nil"/>
                <w:between w:val="nil"/>
              </w:pBdr>
              <w:tabs>
                <w:tab w:val="left" w:pos="318"/>
              </w:tabs>
              <w:spacing w:before="60" w:after="60"/>
              <w:ind w:left="318" w:right="57" w:hanging="218"/>
              <w:rPr>
                <w:rFonts w:ascii="Arial" w:eastAsia="Arial" w:hAnsi="Arial" w:cs="Arial"/>
                <w:sz w:val="20"/>
              </w:rPr>
            </w:pPr>
            <w:r w:rsidRPr="00EE26AB">
              <w:rPr>
                <w:rFonts w:ascii="Arial" w:eastAsia="Arial" w:hAnsi="Arial" w:cs="Arial"/>
                <w:sz w:val="20"/>
              </w:rPr>
              <w:t xml:space="preserve">The higher the overall absence rate across Key Stage (KS) 2 and KS4, the lower the likely level of attainment at the end of KS2 and KS4 </w:t>
            </w:r>
          </w:p>
          <w:p w:rsidR="00837038" w:rsidRPr="00EE26AB" w:rsidRDefault="003F6A21">
            <w:pPr>
              <w:numPr>
                <w:ilvl w:val="0"/>
                <w:numId w:val="6"/>
              </w:numPr>
              <w:pBdr>
                <w:top w:val="nil"/>
                <w:left w:val="nil"/>
                <w:bottom w:val="nil"/>
                <w:right w:val="nil"/>
                <w:between w:val="nil"/>
              </w:pBdr>
              <w:tabs>
                <w:tab w:val="left" w:pos="318"/>
              </w:tabs>
              <w:spacing w:before="60" w:after="60"/>
              <w:ind w:left="318" w:right="57" w:hanging="218"/>
              <w:rPr>
                <w:rFonts w:ascii="Arial" w:eastAsia="Arial" w:hAnsi="Arial" w:cs="Arial"/>
                <w:sz w:val="20"/>
              </w:rPr>
            </w:pPr>
            <w:r w:rsidRPr="00EE26AB">
              <w:rPr>
                <w:rFonts w:ascii="Arial" w:eastAsia="Arial" w:hAnsi="Arial" w:cs="Arial"/>
                <w:sz w:val="20"/>
              </w:rPr>
              <w:t xml:space="preserve">Students with no absence are 1.3 times more likely to achieve level 4 or above, and 3.1 times more likely to achieve level 5 or above, than students that missed 10-15% of all sessions </w:t>
            </w:r>
          </w:p>
          <w:p w:rsidR="00837038" w:rsidRPr="00EE26AB" w:rsidRDefault="003F6A21">
            <w:pPr>
              <w:numPr>
                <w:ilvl w:val="0"/>
                <w:numId w:val="6"/>
              </w:numPr>
              <w:pBdr>
                <w:top w:val="nil"/>
                <w:left w:val="nil"/>
                <w:bottom w:val="nil"/>
                <w:right w:val="nil"/>
                <w:between w:val="nil"/>
              </w:pBdr>
              <w:tabs>
                <w:tab w:val="left" w:pos="318"/>
              </w:tabs>
              <w:spacing w:before="60" w:after="60"/>
              <w:ind w:left="318" w:right="57" w:hanging="218"/>
              <w:rPr>
                <w:rFonts w:ascii="Arial" w:eastAsia="Arial" w:hAnsi="Arial" w:cs="Arial"/>
                <w:sz w:val="20"/>
              </w:rPr>
            </w:pPr>
            <w:r w:rsidRPr="00EE26AB">
              <w:rPr>
                <w:rFonts w:ascii="Arial" w:eastAsia="Arial" w:hAnsi="Arial" w:cs="Arial"/>
                <w:sz w:val="20"/>
              </w:rPr>
              <w:t>Students with no absence are 2.2 times more likely to achieve 5+ GCSEs A*- C or equivalent including English and mathematics than students that missed 15-20% of KS4 lessons</w:t>
            </w:r>
          </w:p>
          <w:p w:rsidR="00837038" w:rsidRPr="00EE26AB" w:rsidRDefault="0070056B">
            <w:pPr>
              <w:pBdr>
                <w:top w:val="nil"/>
                <w:left w:val="nil"/>
                <w:bottom w:val="nil"/>
                <w:right w:val="nil"/>
                <w:between w:val="nil"/>
              </w:pBdr>
              <w:tabs>
                <w:tab w:val="left" w:pos="318"/>
              </w:tabs>
              <w:spacing w:before="60" w:after="60"/>
              <w:ind w:right="57"/>
              <w:rPr>
                <w:rFonts w:ascii="Arial" w:eastAsia="Arial" w:hAnsi="Arial" w:cs="Arial"/>
                <w:sz w:val="20"/>
              </w:rPr>
            </w:pPr>
            <w:hyperlink r:id="rId39">
              <w:r w:rsidR="003F6A21" w:rsidRPr="00EE26AB">
                <w:rPr>
                  <w:rFonts w:ascii="Arial" w:eastAsia="Arial" w:hAnsi="Arial" w:cs="Arial"/>
                  <w:color w:val="1155CC"/>
                  <w:sz w:val="20"/>
                  <w:u w:val="single"/>
                </w:rPr>
                <w:t>Absence and attainment at key stages 2 and 4: 2013 to 2014</w:t>
              </w:r>
            </w:hyperlink>
            <w:r w:rsidR="003F6A21" w:rsidRPr="00EE26AB">
              <w:rPr>
                <w:rFonts w:ascii="Arial" w:eastAsia="Arial" w:hAnsi="Arial" w:cs="Arial"/>
                <w:sz w:val="20"/>
              </w:rPr>
              <w:t xml:space="preserve"> </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1, 2</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Work with external agencies including CAMHS, </w:t>
            </w:r>
            <w:proofErr w:type="spellStart"/>
            <w:r w:rsidRPr="00EE26AB">
              <w:rPr>
                <w:rFonts w:ascii="Arial" w:eastAsia="Arial" w:hAnsi="Arial" w:cs="Arial"/>
                <w:sz w:val="20"/>
              </w:rPr>
              <w:t>Kooth</w:t>
            </w:r>
            <w:proofErr w:type="spellEnd"/>
            <w:r w:rsidRPr="00EE26AB">
              <w:rPr>
                <w:rFonts w:ascii="Arial" w:eastAsia="Arial" w:hAnsi="Arial" w:cs="Arial"/>
                <w:sz w:val="20"/>
              </w:rPr>
              <w:t xml:space="preserve"> and MASH to support students and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Ofsted expects to see learners’ attitudes to their education or training are positive. They are committed to their learning, know how to study effectively and do so, are resilient to setbacks and take pride in their achievements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4, 5</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Subsidising trips and visits for disadvantaged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Matt Bromley (</w:t>
            </w:r>
            <w:proofErr w:type="spellStart"/>
            <w:r w:rsidRPr="00EE26AB">
              <w:rPr>
                <w:rFonts w:ascii="Arial" w:eastAsia="Arial" w:hAnsi="Arial" w:cs="Arial"/>
                <w:sz w:val="20"/>
              </w:rPr>
              <w:t>SecEd</w:t>
            </w:r>
            <w:proofErr w:type="spellEnd"/>
            <w:r w:rsidRPr="00EE26AB">
              <w:rPr>
                <w:rFonts w:ascii="Arial" w:eastAsia="Arial" w:hAnsi="Arial" w:cs="Arial"/>
                <w:sz w:val="20"/>
              </w:rPr>
              <w:t>, 2018) stated that children not born and raised in such knowledge-rich environments don’t do as well in school because new knowledge and skills have nothing to “stick” to or build upon.  Unless addressed, the gap between rich and poor will continue to grow.</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40">
              <w:r w:rsidR="003F6A21" w:rsidRPr="00EE26AB">
                <w:rPr>
                  <w:rFonts w:ascii="Arial" w:eastAsia="Arial" w:hAnsi="Arial" w:cs="Arial"/>
                  <w:color w:val="1155CC"/>
                  <w:sz w:val="20"/>
                  <w:u w:val="single"/>
                </w:rPr>
                <w:t>Curriculum design and delivery (part 3)</w:t>
              </w:r>
            </w:hyperlink>
            <w:r w:rsidR="003F6A21" w:rsidRPr="00EE26AB">
              <w:rPr>
                <w:rFonts w:ascii="Arial" w:eastAsia="Arial" w:hAnsi="Arial" w:cs="Arial"/>
                <w:sz w:val="20"/>
              </w:rPr>
              <w:t xml:space="preserve"> </w:t>
            </w:r>
          </w:p>
          <w:p w:rsidR="00837038" w:rsidRPr="00EE26AB" w:rsidRDefault="003F6A21">
            <w:pPr>
              <w:shd w:val="clear" w:color="auto" w:fill="FFFFFF"/>
              <w:spacing w:before="60" w:after="60"/>
              <w:rPr>
                <w:rFonts w:ascii="Arial" w:eastAsia="Arial" w:hAnsi="Arial" w:cs="Arial"/>
                <w:color w:val="0B0C0C"/>
                <w:sz w:val="20"/>
              </w:rPr>
            </w:pPr>
            <w:r w:rsidRPr="00EE26AB">
              <w:rPr>
                <w:rFonts w:ascii="Arial" w:eastAsia="Arial" w:hAnsi="Arial" w:cs="Arial"/>
                <w:color w:val="0B0C0C"/>
                <w:sz w:val="20"/>
              </w:rPr>
              <w:t xml:space="preserve">Suggested by </w:t>
            </w:r>
            <w:proofErr w:type="spellStart"/>
            <w:r w:rsidRPr="00EE26AB">
              <w:rPr>
                <w:rFonts w:ascii="Arial" w:eastAsia="Arial" w:hAnsi="Arial" w:cs="Arial"/>
                <w:color w:val="0B0C0C"/>
                <w:sz w:val="20"/>
              </w:rPr>
              <w:t>DfE</w:t>
            </w:r>
            <w:proofErr w:type="spellEnd"/>
            <w:r w:rsidRPr="00EE26AB">
              <w:rPr>
                <w:rFonts w:ascii="Arial" w:eastAsia="Arial" w:hAnsi="Arial" w:cs="Arial"/>
                <w:color w:val="0B0C0C"/>
                <w:sz w:val="20"/>
              </w:rPr>
              <w:t xml:space="preserve"> (2021) to help with the cost of educational trips or visits.</w:t>
            </w:r>
          </w:p>
          <w:p w:rsidR="00837038" w:rsidRPr="00EE26AB" w:rsidRDefault="0070056B">
            <w:pPr>
              <w:shd w:val="clear" w:color="auto" w:fill="FFFFFF"/>
              <w:spacing w:before="60" w:after="60"/>
              <w:rPr>
                <w:rFonts w:ascii="Arial" w:eastAsia="Arial" w:hAnsi="Arial" w:cs="Arial"/>
                <w:color w:val="0B0C0C"/>
                <w:sz w:val="20"/>
              </w:rPr>
            </w:pPr>
            <w:hyperlink r:id="rId41">
              <w:r w:rsidR="003F6A21" w:rsidRPr="00EE26AB">
                <w:rPr>
                  <w:rFonts w:ascii="Arial" w:eastAsia="Arial" w:hAnsi="Arial" w:cs="Arial"/>
                  <w:color w:val="1155CC"/>
                  <w:sz w:val="20"/>
                  <w:u w:val="single"/>
                </w:rPr>
                <w:t>Home Pupil premium</w:t>
              </w:r>
            </w:hyperlink>
            <w:r w:rsidR="003F6A21" w:rsidRPr="00EE26AB">
              <w:rPr>
                <w:rFonts w:ascii="Arial" w:eastAsia="Arial" w:hAnsi="Arial" w:cs="Arial"/>
                <w:color w:val="0B0C0C"/>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3</w:t>
            </w:r>
          </w:p>
        </w:tc>
      </w:tr>
      <w:tr w:rsidR="0083703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Provision of equipment, uniform and resources for families who cannot afford it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 xml:space="preserve">This can lead to increased parental engagement which can equate to an +4 </w:t>
            </w:r>
            <w:proofErr w:type="gramStart"/>
            <w:r w:rsidRPr="00EE26AB">
              <w:rPr>
                <w:rFonts w:ascii="Arial" w:eastAsia="Arial" w:hAnsi="Arial" w:cs="Arial"/>
                <w:sz w:val="20"/>
              </w:rPr>
              <w:t>months</w:t>
            </w:r>
            <w:proofErr w:type="gramEnd"/>
            <w:r w:rsidRPr="00EE26AB">
              <w:rPr>
                <w:rFonts w:ascii="Arial" w:eastAsia="Arial" w:hAnsi="Arial" w:cs="Arial"/>
                <w:sz w:val="20"/>
              </w:rPr>
              <w:t xml:space="preserve"> progress over the course of a year </w:t>
            </w:r>
          </w:p>
          <w:p w:rsidR="00837038" w:rsidRPr="00EE26AB" w:rsidRDefault="0070056B">
            <w:pPr>
              <w:pBdr>
                <w:top w:val="nil"/>
                <w:left w:val="nil"/>
                <w:bottom w:val="nil"/>
                <w:right w:val="nil"/>
                <w:between w:val="nil"/>
              </w:pBdr>
              <w:spacing w:before="60" w:after="60"/>
              <w:ind w:left="57" w:right="57"/>
              <w:rPr>
                <w:rFonts w:ascii="Arial" w:eastAsia="Arial" w:hAnsi="Arial" w:cs="Arial"/>
                <w:sz w:val="20"/>
              </w:rPr>
            </w:pPr>
            <w:hyperlink r:id="rId42">
              <w:r w:rsidR="003F6A21" w:rsidRPr="00EE26AB">
                <w:rPr>
                  <w:rFonts w:ascii="Arial" w:eastAsia="Arial" w:hAnsi="Arial" w:cs="Arial"/>
                  <w:color w:val="1155CC"/>
                  <w:sz w:val="20"/>
                  <w:u w:val="single"/>
                </w:rPr>
                <w:t>Parental engagement | EEF</w:t>
              </w:r>
            </w:hyperlink>
            <w:r w:rsidR="003F6A21" w:rsidRPr="00EE26AB">
              <w:rPr>
                <w:rFonts w:ascii="Arial" w:eastAsia="Arial" w:hAnsi="Arial"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Pr="00EE26AB" w:rsidRDefault="003F6A21">
            <w:pPr>
              <w:pBdr>
                <w:top w:val="nil"/>
                <w:left w:val="nil"/>
                <w:bottom w:val="nil"/>
                <w:right w:val="nil"/>
                <w:between w:val="nil"/>
              </w:pBdr>
              <w:spacing w:before="60" w:after="60"/>
              <w:ind w:left="57" w:right="57"/>
              <w:rPr>
                <w:rFonts w:ascii="Arial" w:eastAsia="Arial" w:hAnsi="Arial" w:cs="Arial"/>
                <w:sz w:val="20"/>
              </w:rPr>
            </w:pPr>
            <w:r w:rsidRPr="00EE26AB">
              <w:rPr>
                <w:rFonts w:ascii="Arial" w:eastAsia="Arial" w:hAnsi="Arial" w:cs="Arial"/>
                <w:sz w:val="20"/>
              </w:rPr>
              <w:t>1, 2</w:t>
            </w:r>
          </w:p>
        </w:tc>
      </w:tr>
    </w:tbl>
    <w:p w:rsidR="00837038" w:rsidRDefault="003F6A21">
      <w:pPr>
        <w:spacing w:before="240"/>
        <w:rPr>
          <w:rFonts w:ascii="Arial" w:eastAsia="Arial" w:hAnsi="Arial" w:cs="Arial"/>
          <w:highlight w:val="white"/>
        </w:rPr>
      </w:pPr>
      <w:bookmarkStart w:id="4" w:name="_heading=h.3znysh7" w:colFirst="0" w:colLast="0"/>
      <w:bookmarkEnd w:id="4"/>
      <w:r>
        <w:rPr>
          <w:rFonts w:ascii="Arial" w:eastAsia="Arial" w:hAnsi="Arial" w:cs="Arial"/>
          <w:b/>
          <w:color w:val="104F75"/>
          <w:sz w:val="28"/>
          <w:szCs w:val="28"/>
        </w:rPr>
        <w:t>Total budgeted cost: £</w:t>
      </w:r>
      <w:r w:rsidR="00D42445">
        <w:rPr>
          <w:rFonts w:ascii="Arial" w:eastAsia="Arial" w:hAnsi="Arial" w:cs="Arial"/>
          <w:b/>
          <w:color w:val="104F75"/>
          <w:sz w:val="28"/>
          <w:szCs w:val="28"/>
        </w:rPr>
        <w:t>372,877</w:t>
      </w:r>
      <w:bookmarkStart w:id="5" w:name="_GoBack"/>
      <w:bookmarkEnd w:id="5"/>
    </w:p>
    <w:p w:rsidR="00837038" w:rsidRDefault="003F6A21">
      <w:pPr>
        <w:pStyle w:val="Heading1"/>
        <w:rPr>
          <w:rFonts w:ascii="Arial" w:eastAsia="Arial" w:hAnsi="Arial" w:cs="Arial"/>
        </w:rPr>
      </w:pPr>
      <w:r>
        <w:br w:type="page"/>
      </w:r>
      <w:r>
        <w:rPr>
          <w:rFonts w:ascii="Arial" w:eastAsia="Arial" w:hAnsi="Arial" w:cs="Arial"/>
        </w:rPr>
        <w:lastRenderedPageBreak/>
        <w:t>Part B: Review of outcomes in the previous academic year</w:t>
      </w:r>
    </w:p>
    <w:p w:rsidR="00837038" w:rsidRDefault="003F6A21">
      <w:pPr>
        <w:pStyle w:val="Heading2"/>
        <w:rPr>
          <w:rFonts w:ascii="Arial" w:eastAsia="Arial" w:hAnsi="Arial" w:cs="Arial"/>
        </w:rPr>
      </w:pPr>
      <w:r>
        <w:rPr>
          <w:rFonts w:ascii="Arial" w:eastAsia="Arial" w:hAnsi="Arial" w:cs="Arial"/>
        </w:rPr>
        <w:t>Pupil premium strategy outcomes</w:t>
      </w:r>
    </w:p>
    <w:p w:rsidR="00837038" w:rsidRDefault="003F6A21">
      <w:pPr>
        <w:rPr>
          <w:rFonts w:ascii="Arial" w:eastAsia="Arial" w:hAnsi="Arial" w:cs="Arial"/>
        </w:rPr>
      </w:pPr>
      <w:r>
        <w:rPr>
          <w:rFonts w:ascii="Arial" w:eastAsia="Arial" w:hAnsi="Arial" w:cs="Arial"/>
        </w:rPr>
        <w:t xml:space="preserve">This details the impact that our pupil premium activity had on students in the 2022 to 2023 academic year. </w:t>
      </w:r>
    </w:p>
    <w:tbl>
      <w:tblPr>
        <w:tblStyle w:val="aff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83703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spacing w:before="60" w:after="60"/>
              <w:rPr>
                <w:rFonts w:ascii="Arial" w:eastAsia="Arial" w:hAnsi="Arial" w:cs="Arial"/>
              </w:rPr>
            </w:pPr>
            <w:r>
              <w:rPr>
                <w:rFonts w:ascii="Arial" w:eastAsia="Arial" w:hAnsi="Arial" w:cs="Arial"/>
              </w:rPr>
              <w:t>Review of intended outcomes:</w:t>
            </w:r>
          </w:p>
          <w:p w:rsidR="00837038" w:rsidRDefault="003F6A21">
            <w:pPr>
              <w:spacing w:before="60" w:after="60"/>
              <w:ind w:right="57"/>
              <w:rPr>
                <w:rFonts w:ascii="Arial" w:eastAsia="Arial" w:hAnsi="Arial" w:cs="Arial"/>
                <w:b/>
                <w:color w:val="000000"/>
              </w:rPr>
            </w:pPr>
            <w:r>
              <w:rPr>
                <w:rFonts w:ascii="Arial" w:eastAsia="Arial" w:hAnsi="Arial" w:cs="Arial"/>
                <w:b/>
              </w:rPr>
              <w:t xml:space="preserve">Improve attainment and progress for disadvantaged students, with particular focus on </w:t>
            </w:r>
            <w:proofErr w:type="spellStart"/>
            <w:r>
              <w:rPr>
                <w:rFonts w:ascii="Arial" w:eastAsia="Arial" w:hAnsi="Arial" w:cs="Arial"/>
                <w:b/>
              </w:rPr>
              <w:t>EBacc</w:t>
            </w:r>
            <w:proofErr w:type="spellEnd"/>
          </w:p>
          <w:p w:rsidR="00837038" w:rsidRDefault="00837038">
            <w:pPr>
              <w:pBdr>
                <w:top w:val="nil"/>
                <w:left w:val="nil"/>
                <w:bottom w:val="nil"/>
                <w:right w:val="nil"/>
                <w:between w:val="nil"/>
              </w:pBdr>
              <w:spacing w:before="60" w:after="60"/>
              <w:rPr>
                <w:rFonts w:ascii="Arial" w:eastAsia="Arial" w:hAnsi="Arial" w:cs="Arial"/>
                <w:color w:val="000000"/>
              </w:rPr>
            </w:pPr>
          </w:p>
          <w:tbl>
            <w:tblPr>
              <w:tblStyle w:val="aff5"/>
              <w:tblW w:w="8490" w:type="dxa"/>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2"/>
              <w:gridCol w:w="1108"/>
              <w:gridCol w:w="1110"/>
              <w:gridCol w:w="1110"/>
              <w:gridCol w:w="1110"/>
              <w:gridCol w:w="1110"/>
              <w:gridCol w:w="1110"/>
            </w:tblGrid>
            <w:tr w:rsidR="00A42298" w:rsidTr="00A42298">
              <w:trPr>
                <w:trHeight w:val="247"/>
              </w:trPr>
              <w:tc>
                <w:tcPr>
                  <w:tcW w:w="1832" w:type="dxa"/>
                  <w:shd w:val="clear" w:color="auto" w:fill="auto"/>
                  <w:tcMar>
                    <w:top w:w="100" w:type="dxa"/>
                    <w:left w:w="100" w:type="dxa"/>
                    <w:bottom w:w="100" w:type="dxa"/>
                    <w:right w:w="100" w:type="dxa"/>
                  </w:tcMar>
                </w:tcPr>
                <w:p w:rsidR="00A42298" w:rsidRPr="00A42298" w:rsidRDefault="00A42298">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18" w:type="dxa"/>
                  <w:gridSpan w:val="2"/>
                  <w:vAlign w:val="center"/>
                </w:tcPr>
                <w:p w:rsidR="00A42298" w:rsidRPr="00A42298" w:rsidRDefault="00A42298" w:rsidP="00A42298">
                  <w:pPr>
                    <w:jc w:val="center"/>
                    <w:rPr>
                      <w:rFonts w:ascii="Arial" w:eastAsia="Arial" w:hAnsi="Arial" w:cs="Arial"/>
                      <w:sz w:val="20"/>
                      <w:szCs w:val="20"/>
                    </w:rPr>
                  </w:pPr>
                  <w:r>
                    <w:rPr>
                      <w:rFonts w:ascii="Arial" w:eastAsia="Arial" w:hAnsi="Arial" w:cs="Arial"/>
                      <w:sz w:val="20"/>
                      <w:szCs w:val="20"/>
                    </w:rPr>
                    <w:t>2018-2019</w:t>
                  </w:r>
                </w:p>
              </w:tc>
              <w:tc>
                <w:tcPr>
                  <w:tcW w:w="2220" w:type="dxa"/>
                  <w:gridSpan w:val="2"/>
                  <w:vAlign w:val="center"/>
                </w:tcPr>
                <w:p w:rsidR="00A42298" w:rsidRPr="00A42298" w:rsidRDefault="00A42298" w:rsidP="00A42298">
                  <w:pPr>
                    <w:jc w:val="center"/>
                    <w:rPr>
                      <w:rFonts w:ascii="Arial" w:eastAsia="Arial" w:hAnsi="Arial" w:cs="Arial"/>
                      <w:sz w:val="20"/>
                      <w:szCs w:val="20"/>
                    </w:rPr>
                  </w:pPr>
                  <w:r>
                    <w:rPr>
                      <w:rFonts w:ascii="Arial" w:eastAsia="Arial" w:hAnsi="Arial" w:cs="Arial"/>
                      <w:sz w:val="20"/>
                      <w:szCs w:val="20"/>
                    </w:rPr>
                    <w:t>2021-2022</w:t>
                  </w:r>
                </w:p>
              </w:tc>
              <w:tc>
                <w:tcPr>
                  <w:tcW w:w="2220" w:type="dxa"/>
                  <w:gridSpan w:val="2"/>
                  <w:shd w:val="clear" w:color="auto" w:fill="auto"/>
                  <w:tcMar>
                    <w:top w:w="100" w:type="dxa"/>
                    <w:left w:w="100" w:type="dxa"/>
                    <w:bottom w:w="100" w:type="dxa"/>
                    <w:right w:w="100" w:type="dxa"/>
                  </w:tcMar>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2022-2023</w:t>
                  </w:r>
                </w:p>
              </w:tc>
            </w:tr>
            <w:tr w:rsidR="00A42298" w:rsidTr="00A42298">
              <w:trPr>
                <w:trHeight w:val="247"/>
              </w:trPr>
              <w:tc>
                <w:tcPr>
                  <w:tcW w:w="1832" w:type="dxa"/>
                  <w:shd w:val="clear" w:color="auto" w:fill="auto"/>
                  <w:tcMar>
                    <w:top w:w="100" w:type="dxa"/>
                    <w:left w:w="100" w:type="dxa"/>
                    <w:bottom w:w="100" w:type="dxa"/>
                    <w:right w:w="100" w:type="dxa"/>
                  </w:tcMar>
                </w:tcPr>
                <w:p w:rsidR="00A42298" w:rsidRPr="00A42298" w:rsidRDefault="00A42298" w:rsidP="00A42298">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1108" w:type="dxa"/>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Non-PP</w:t>
                  </w:r>
                </w:p>
              </w:tc>
              <w:tc>
                <w:tcPr>
                  <w:tcW w:w="1110" w:type="dxa"/>
                  <w:shd w:val="clear" w:color="auto" w:fill="auto"/>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PP</w:t>
                  </w:r>
                </w:p>
              </w:tc>
              <w:tc>
                <w:tcPr>
                  <w:tcW w:w="1110" w:type="dxa"/>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Non-PP</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PP</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Non-PP</w:t>
                  </w:r>
                </w:p>
              </w:tc>
              <w:tc>
                <w:tcPr>
                  <w:tcW w:w="1110" w:type="dxa"/>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PP</w:t>
                  </w:r>
                </w:p>
              </w:tc>
            </w:tr>
            <w:tr w:rsidR="00A42298" w:rsidTr="00A42298">
              <w:trPr>
                <w:trHeight w:val="247"/>
              </w:trPr>
              <w:tc>
                <w:tcPr>
                  <w:tcW w:w="1832" w:type="dxa"/>
                  <w:shd w:val="clear" w:color="auto" w:fill="auto"/>
                  <w:tcMar>
                    <w:top w:w="100" w:type="dxa"/>
                    <w:left w:w="100" w:type="dxa"/>
                    <w:bottom w:w="100" w:type="dxa"/>
                    <w:right w:w="100" w:type="dxa"/>
                  </w:tcMar>
                </w:tcPr>
                <w:p w:rsidR="00A42298" w:rsidRPr="00A42298" w:rsidRDefault="00A42298" w:rsidP="00A42298">
                  <w:pPr>
                    <w:jc w:val="center"/>
                    <w:rPr>
                      <w:rFonts w:ascii="Arial" w:eastAsia="Arial" w:hAnsi="Arial" w:cs="Arial"/>
                      <w:color w:val="000000"/>
                      <w:sz w:val="20"/>
                      <w:szCs w:val="20"/>
                    </w:rPr>
                  </w:pPr>
                  <w:r w:rsidRPr="00A42298">
                    <w:rPr>
                      <w:rFonts w:ascii="Arial" w:eastAsia="Arial" w:hAnsi="Arial" w:cs="Arial"/>
                      <w:b/>
                      <w:sz w:val="20"/>
                      <w:szCs w:val="20"/>
                    </w:rPr>
                    <w:t>Grade 4+ in E&amp;M</w:t>
                  </w:r>
                </w:p>
              </w:tc>
              <w:tc>
                <w:tcPr>
                  <w:tcW w:w="1108" w:type="dxa"/>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58</w:t>
                  </w:r>
                  <w:r w:rsidRPr="00A42298">
                    <w:rPr>
                      <w:rFonts w:ascii="Arial" w:eastAsia="Arial" w:hAnsi="Arial" w:cs="Arial"/>
                      <w:color w:val="000000"/>
                      <w:sz w:val="20"/>
                      <w:szCs w:val="20"/>
                    </w:rPr>
                    <w:t>%</w:t>
                  </w:r>
                </w:p>
              </w:tc>
              <w:tc>
                <w:tcPr>
                  <w:tcW w:w="1110" w:type="dxa"/>
                  <w:shd w:val="clear" w:color="auto" w:fill="auto"/>
                  <w:vAlign w:val="center"/>
                </w:tcPr>
                <w:p w:rsidR="00A42298" w:rsidRPr="00A42298" w:rsidRDefault="00A42298" w:rsidP="00A42298">
                  <w:pPr>
                    <w:jc w:val="center"/>
                    <w:rPr>
                      <w:rFonts w:ascii="Arial" w:eastAsia="Arial" w:hAnsi="Arial" w:cs="Arial"/>
                      <w:sz w:val="20"/>
                      <w:szCs w:val="20"/>
                    </w:rPr>
                  </w:pPr>
                  <w:r w:rsidRPr="00A42298">
                    <w:rPr>
                      <w:rFonts w:ascii="Arial" w:eastAsia="Arial" w:hAnsi="Arial" w:cs="Arial"/>
                      <w:sz w:val="20"/>
                      <w:szCs w:val="20"/>
                    </w:rPr>
                    <w:t>28%</w:t>
                  </w:r>
                </w:p>
              </w:tc>
              <w:tc>
                <w:tcPr>
                  <w:tcW w:w="1110" w:type="dxa"/>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61%</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48%</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52</w:t>
                  </w:r>
                </w:p>
              </w:tc>
              <w:tc>
                <w:tcPr>
                  <w:tcW w:w="1110" w:type="dxa"/>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30</w:t>
                  </w:r>
                </w:p>
              </w:tc>
            </w:tr>
            <w:tr w:rsidR="00A42298" w:rsidTr="00A42298">
              <w:trPr>
                <w:trHeight w:val="223"/>
              </w:trPr>
              <w:tc>
                <w:tcPr>
                  <w:tcW w:w="1832" w:type="dxa"/>
                  <w:shd w:val="clear" w:color="auto" w:fill="auto"/>
                  <w:tcMar>
                    <w:top w:w="100" w:type="dxa"/>
                    <w:left w:w="100" w:type="dxa"/>
                    <w:bottom w:w="100" w:type="dxa"/>
                    <w:right w:w="100" w:type="dxa"/>
                  </w:tcMar>
                </w:tcPr>
                <w:p w:rsidR="00A42298" w:rsidRPr="00A42298" w:rsidRDefault="00A42298" w:rsidP="00A42298">
                  <w:pPr>
                    <w:jc w:val="center"/>
                    <w:rPr>
                      <w:rFonts w:ascii="Arial" w:eastAsia="Arial" w:hAnsi="Arial" w:cs="Arial"/>
                      <w:color w:val="000000"/>
                      <w:sz w:val="20"/>
                      <w:szCs w:val="20"/>
                    </w:rPr>
                  </w:pPr>
                  <w:r w:rsidRPr="00A42298">
                    <w:rPr>
                      <w:rFonts w:ascii="Arial" w:eastAsia="Arial" w:hAnsi="Arial" w:cs="Arial"/>
                      <w:b/>
                      <w:sz w:val="20"/>
                      <w:szCs w:val="20"/>
                    </w:rPr>
                    <w:t>Grade 5+ in E&amp;M</w:t>
                  </w:r>
                </w:p>
              </w:tc>
              <w:tc>
                <w:tcPr>
                  <w:tcW w:w="1108" w:type="dxa"/>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32%</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24%</w:t>
                  </w:r>
                </w:p>
              </w:tc>
              <w:tc>
                <w:tcPr>
                  <w:tcW w:w="1110" w:type="dxa"/>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31%</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28%</w:t>
                  </w:r>
                </w:p>
              </w:tc>
              <w:tc>
                <w:tcPr>
                  <w:tcW w:w="1110" w:type="dxa"/>
                  <w:shd w:val="clear" w:color="auto" w:fill="auto"/>
                  <w:tcMar>
                    <w:top w:w="100" w:type="dxa"/>
                    <w:left w:w="100" w:type="dxa"/>
                    <w:bottom w:w="100" w:type="dxa"/>
                    <w:right w:w="100" w:type="dxa"/>
                  </w:tcMar>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30</w:t>
                  </w:r>
                </w:p>
              </w:tc>
              <w:tc>
                <w:tcPr>
                  <w:tcW w:w="1110" w:type="dxa"/>
                  <w:vAlign w:val="center"/>
                </w:tcPr>
                <w:p w:rsidR="00A42298" w:rsidRPr="00A42298" w:rsidRDefault="00A42298" w:rsidP="00A42298">
                  <w:pPr>
                    <w:widowControl w:val="0"/>
                    <w:pBdr>
                      <w:top w:val="nil"/>
                      <w:left w:val="nil"/>
                      <w:bottom w:val="nil"/>
                      <w:right w:val="nil"/>
                      <w:between w:val="nil"/>
                    </w:pBdr>
                    <w:jc w:val="center"/>
                    <w:rPr>
                      <w:rFonts w:ascii="Arial" w:eastAsia="Arial" w:hAnsi="Arial" w:cs="Arial"/>
                      <w:color w:val="000000"/>
                      <w:sz w:val="20"/>
                      <w:szCs w:val="20"/>
                    </w:rPr>
                  </w:pPr>
                  <w:r w:rsidRPr="00A42298">
                    <w:rPr>
                      <w:rFonts w:ascii="Arial" w:eastAsia="Arial" w:hAnsi="Arial" w:cs="Arial"/>
                      <w:color w:val="000000"/>
                      <w:sz w:val="20"/>
                      <w:szCs w:val="20"/>
                    </w:rPr>
                    <w:t>16</w:t>
                  </w:r>
                </w:p>
              </w:tc>
            </w:tr>
            <w:tr w:rsidR="00A42298" w:rsidTr="00A42298">
              <w:trPr>
                <w:trHeight w:val="328"/>
              </w:trPr>
              <w:tc>
                <w:tcPr>
                  <w:tcW w:w="1832" w:type="dxa"/>
                  <w:shd w:val="clear" w:color="auto" w:fill="auto"/>
                  <w:tcMar>
                    <w:top w:w="100" w:type="dxa"/>
                    <w:left w:w="100" w:type="dxa"/>
                    <w:bottom w:w="100" w:type="dxa"/>
                    <w:right w:w="100" w:type="dxa"/>
                  </w:tcMar>
                </w:tcPr>
                <w:p w:rsidR="00A42298" w:rsidRPr="00A42298" w:rsidRDefault="00A42298" w:rsidP="00A42298">
                  <w:pPr>
                    <w:jc w:val="center"/>
                    <w:rPr>
                      <w:rFonts w:ascii="Arial" w:eastAsia="Arial" w:hAnsi="Arial" w:cs="Arial"/>
                      <w:b/>
                      <w:sz w:val="20"/>
                      <w:szCs w:val="20"/>
                    </w:rPr>
                  </w:pPr>
                  <w:r w:rsidRPr="00A42298">
                    <w:rPr>
                      <w:rFonts w:ascii="Arial" w:eastAsia="Arial" w:hAnsi="Arial" w:cs="Arial"/>
                      <w:b/>
                      <w:sz w:val="20"/>
                      <w:szCs w:val="20"/>
                    </w:rPr>
                    <w:t>% achieving standard pass in EBACC</w:t>
                  </w:r>
                </w:p>
              </w:tc>
              <w:tc>
                <w:tcPr>
                  <w:tcW w:w="1108" w:type="dxa"/>
                  <w:vAlign w:val="center"/>
                </w:tcPr>
                <w:p w:rsidR="00A42298" w:rsidRPr="00A42298" w:rsidRDefault="007405ED" w:rsidP="00A4229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3.22</w:t>
                  </w:r>
                </w:p>
              </w:tc>
              <w:tc>
                <w:tcPr>
                  <w:tcW w:w="1110" w:type="dxa"/>
                  <w:shd w:val="clear" w:color="auto" w:fill="auto"/>
                  <w:tcMar>
                    <w:top w:w="100" w:type="dxa"/>
                    <w:left w:w="100" w:type="dxa"/>
                    <w:bottom w:w="100" w:type="dxa"/>
                    <w:right w:w="100" w:type="dxa"/>
                  </w:tcMar>
                  <w:vAlign w:val="center"/>
                </w:tcPr>
                <w:p w:rsidR="00A42298" w:rsidRPr="00A42298" w:rsidRDefault="007405ED" w:rsidP="00A4229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2.79</w:t>
                  </w:r>
                </w:p>
              </w:tc>
              <w:tc>
                <w:tcPr>
                  <w:tcW w:w="1110" w:type="dxa"/>
                  <w:vAlign w:val="center"/>
                </w:tcPr>
                <w:p w:rsidR="00A42298" w:rsidRPr="00A42298" w:rsidRDefault="007405ED" w:rsidP="00A4229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3.75</w:t>
                  </w:r>
                </w:p>
              </w:tc>
              <w:tc>
                <w:tcPr>
                  <w:tcW w:w="1110" w:type="dxa"/>
                  <w:shd w:val="clear" w:color="auto" w:fill="auto"/>
                  <w:tcMar>
                    <w:top w:w="100" w:type="dxa"/>
                    <w:left w:w="100" w:type="dxa"/>
                    <w:bottom w:w="100" w:type="dxa"/>
                    <w:right w:w="100" w:type="dxa"/>
                  </w:tcMar>
                  <w:vAlign w:val="center"/>
                </w:tcPr>
                <w:p w:rsidR="00A42298" w:rsidRPr="00A42298" w:rsidRDefault="007405ED" w:rsidP="00A4229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3.50</w:t>
                  </w:r>
                </w:p>
              </w:tc>
              <w:tc>
                <w:tcPr>
                  <w:tcW w:w="1110" w:type="dxa"/>
                  <w:shd w:val="clear" w:color="auto" w:fill="auto"/>
                  <w:tcMar>
                    <w:top w:w="100" w:type="dxa"/>
                    <w:left w:w="100" w:type="dxa"/>
                    <w:bottom w:w="100" w:type="dxa"/>
                    <w:right w:w="100" w:type="dxa"/>
                  </w:tcMar>
                  <w:vAlign w:val="center"/>
                </w:tcPr>
                <w:p w:rsidR="00A42298" w:rsidRPr="007405ED" w:rsidRDefault="007405ED" w:rsidP="00A42298">
                  <w:pPr>
                    <w:widowControl w:val="0"/>
                    <w:pBdr>
                      <w:top w:val="nil"/>
                      <w:left w:val="nil"/>
                      <w:bottom w:val="nil"/>
                      <w:right w:val="nil"/>
                      <w:between w:val="nil"/>
                    </w:pBdr>
                    <w:jc w:val="center"/>
                    <w:rPr>
                      <w:rFonts w:ascii="Arial" w:eastAsia="Arial" w:hAnsi="Arial" w:cs="Arial"/>
                      <w:color w:val="000000"/>
                      <w:sz w:val="20"/>
                      <w:szCs w:val="20"/>
                    </w:rPr>
                  </w:pPr>
                  <w:r w:rsidRPr="007405ED">
                    <w:rPr>
                      <w:rFonts w:ascii="Arial" w:eastAsia="Arial" w:hAnsi="Arial" w:cs="Arial"/>
                      <w:color w:val="000000"/>
                      <w:sz w:val="20"/>
                      <w:szCs w:val="20"/>
                    </w:rPr>
                    <w:t>3.65</w:t>
                  </w:r>
                </w:p>
              </w:tc>
              <w:tc>
                <w:tcPr>
                  <w:tcW w:w="1110" w:type="dxa"/>
                  <w:vAlign w:val="center"/>
                </w:tcPr>
                <w:p w:rsidR="00A42298" w:rsidRPr="007405ED" w:rsidRDefault="00EE26AB" w:rsidP="00A4229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2.95</w:t>
                  </w:r>
                  <w:r w:rsidR="007405ED">
                    <w:rPr>
                      <w:rFonts w:ascii="Arial" w:eastAsia="Arial" w:hAnsi="Arial" w:cs="Arial"/>
                      <w:color w:val="000000"/>
                      <w:sz w:val="20"/>
                      <w:szCs w:val="20"/>
                    </w:rPr>
                    <w:t>*</w:t>
                  </w:r>
                </w:p>
              </w:tc>
            </w:tr>
          </w:tbl>
          <w:p w:rsidR="00837038" w:rsidRDefault="00837038">
            <w:pPr>
              <w:pBdr>
                <w:top w:val="nil"/>
                <w:left w:val="nil"/>
                <w:bottom w:val="nil"/>
                <w:right w:val="nil"/>
                <w:between w:val="nil"/>
              </w:pBdr>
              <w:spacing w:before="60" w:after="60"/>
              <w:ind w:left="313"/>
              <w:rPr>
                <w:rFonts w:ascii="Arial" w:eastAsia="Arial" w:hAnsi="Arial" w:cs="Arial"/>
                <w:color w:val="000000"/>
              </w:rPr>
            </w:pPr>
          </w:p>
          <w:p w:rsidR="007405ED" w:rsidRPr="00EE26AB" w:rsidRDefault="007405ED">
            <w:pPr>
              <w:pBdr>
                <w:top w:val="nil"/>
                <w:left w:val="nil"/>
                <w:bottom w:val="nil"/>
                <w:right w:val="nil"/>
                <w:between w:val="nil"/>
              </w:pBdr>
              <w:spacing w:before="60" w:after="60"/>
              <w:ind w:left="313"/>
              <w:rPr>
                <w:rFonts w:ascii="Arial" w:eastAsia="Arial" w:hAnsi="Arial" w:cs="Arial"/>
                <w:color w:val="000000"/>
                <w:sz w:val="20"/>
              </w:rPr>
            </w:pPr>
            <w:r w:rsidRPr="00EE26AB">
              <w:rPr>
                <w:rFonts w:ascii="Arial" w:eastAsia="Arial" w:hAnsi="Arial" w:cs="Arial"/>
                <w:color w:val="000000"/>
                <w:sz w:val="20"/>
              </w:rPr>
              <w:t>* The main areas of co</w:t>
            </w:r>
            <w:r w:rsidR="00EE26AB" w:rsidRPr="00EE26AB">
              <w:rPr>
                <w:rFonts w:ascii="Arial" w:eastAsia="Arial" w:hAnsi="Arial" w:cs="Arial"/>
                <w:color w:val="000000"/>
                <w:sz w:val="20"/>
              </w:rPr>
              <w:t>ncern and reason for the lower figures were the humanities and languages pillars.</w:t>
            </w:r>
          </w:p>
          <w:p w:rsidR="00837038" w:rsidRPr="00EE26AB" w:rsidRDefault="00837038">
            <w:pPr>
              <w:pBdr>
                <w:top w:val="nil"/>
                <w:left w:val="nil"/>
                <w:bottom w:val="nil"/>
                <w:right w:val="nil"/>
                <w:between w:val="nil"/>
              </w:pBdr>
              <w:spacing w:before="60" w:after="60"/>
              <w:ind w:left="313"/>
              <w:rPr>
                <w:rFonts w:ascii="Arial" w:eastAsia="Arial" w:hAnsi="Arial" w:cs="Arial"/>
                <w:color w:val="000000"/>
                <w:sz w:val="20"/>
              </w:rPr>
            </w:pPr>
          </w:p>
          <w:p w:rsidR="00837038" w:rsidRPr="00EE26AB" w:rsidRDefault="003F6A21">
            <w:pPr>
              <w:spacing w:before="60" w:after="60" w:line="276" w:lineRule="auto"/>
              <w:ind w:right="57"/>
              <w:rPr>
                <w:rFonts w:ascii="Arial" w:eastAsia="Arial" w:hAnsi="Arial" w:cs="Arial"/>
                <w:b/>
                <w:color w:val="000000"/>
                <w:sz w:val="20"/>
              </w:rPr>
            </w:pPr>
            <w:r w:rsidRPr="00EE26AB">
              <w:rPr>
                <w:rFonts w:ascii="Arial" w:eastAsia="Arial" w:hAnsi="Arial" w:cs="Arial"/>
                <w:b/>
                <w:sz w:val="20"/>
              </w:rPr>
              <w:t>To achieve a sustained increase in attendance for disadvantaged students and to ensure gaps in attendance are closed and in line with the Academy target of 96%.</w:t>
            </w:r>
          </w:p>
          <w:p w:rsidR="00837038" w:rsidRPr="00EE26AB" w:rsidRDefault="003F6A21">
            <w:pPr>
              <w:spacing w:before="40" w:after="40" w:line="276" w:lineRule="auto"/>
              <w:rPr>
                <w:rFonts w:ascii="Arial" w:eastAsia="Arial" w:hAnsi="Arial" w:cs="Arial"/>
                <w:sz w:val="20"/>
                <w:highlight w:val="yellow"/>
              </w:rPr>
            </w:pPr>
            <w:r w:rsidRPr="00EE26AB">
              <w:rPr>
                <w:rFonts w:ascii="Arial" w:eastAsia="Arial" w:hAnsi="Arial" w:cs="Arial"/>
                <w:sz w:val="20"/>
              </w:rPr>
              <w:t>Wh</w:t>
            </w:r>
            <w:r w:rsidR="003B796F" w:rsidRPr="00EE26AB">
              <w:rPr>
                <w:rFonts w:ascii="Arial" w:eastAsia="Arial" w:hAnsi="Arial" w:cs="Arial"/>
                <w:sz w:val="20"/>
              </w:rPr>
              <w:t>ole school attendance is at 90.5</w:t>
            </w:r>
            <w:r w:rsidRPr="00EE26AB">
              <w:rPr>
                <w:rFonts w:ascii="Arial" w:eastAsia="Arial" w:hAnsi="Arial" w:cs="Arial"/>
                <w:sz w:val="20"/>
              </w:rPr>
              <w:t xml:space="preserve">%, with a gap of 3.5% between disadvantaged (88.9%) and non-disadvantaged (92.4%).  </w:t>
            </w:r>
            <w:r w:rsidR="003B796F" w:rsidRPr="00EE26AB">
              <w:rPr>
                <w:rFonts w:ascii="Arial" w:eastAsia="Arial" w:hAnsi="Arial" w:cs="Arial"/>
                <w:sz w:val="20"/>
              </w:rPr>
              <w:t>This has been reduced from previous</w:t>
            </w:r>
            <w:r w:rsidRPr="00EE26AB">
              <w:rPr>
                <w:rFonts w:ascii="Arial" w:eastAsia="Arial" w:hAnsi="Arial" w:cs="Arial"/>
                <w:sz w:val="20"/>
              </w:rPr>
              <w:t xml:space="preserve"> academic year</w:t>
            </w:r>
            <w:r w:rsidR="003B796F" w:rsidRPr="00EE26AB">
              <w:rPr>
                <w:rFonts w:ascii="Arial" w:eastAsia="Arial" w:hAnsi="Arial" w:cs="Arial"/>
                <w:sz w:val="20"/>
              </w:rPr>
              <w:t>s</w:t>
            </w:r>
            <w:r w:rsidRPr="00EE26AB">
              <w:rPr>
                <w:rFonts w:ascii="Arial" w:eastAsia="Arial" w:hAnsi="Arial" w:cs="Arial"/>
                <w:sz w:val="20"/>
              </w:rPr>
              <w:t xml:space="preserve">, with Year 8 seeing the lowest gap of 1.9%.  </w:t>
            </w:r>
          </w:p>
          <w:p w:rsidR="00837038" w:rsidRPr="00EE26AB" w:rsidRDefault="00837038">
            <w:pPr>
              <w:spacing w:before="40" w:after="40" w:line="276" w:lineRule="auto"/>
              <w:rPr>
                <w:rFonts w:ascii="Arial" w:eastAsia="Arial" w:hAnsi="Arial" w:cs="Arial"/>
                <w:sz w:val="20"/>
              </w:rPr>
            </w:pPr>
          </w:p>
          <w:p w:rsidR="00837038" w:rsidRPr="00EE26AB" w:rsidRDefault="003F6A21">
            <w:pPr>
              <w:spacing w:before="40" w:after="40" w:line="276" w:lineRule="auto"/>
              <w:rPr>
                <w:rFonts w:ascii="Arial" w:eastAsia="Arial" w:hAnsi="Arial" w:cs="Arial"/>
                <w:sz w:val="20"/>
              </w:rPr>
            </w:pPr>
            <w:r w:rsidRPr="00EE26AB">
              <w:rPr>
                <w:rFonts w:ascii="Arial" w:eastAsia="Arial" w:hAnsi="Arial" w:cs="Arial"/>
                <w:sz w:val="20"/>
              </w:rPr>
              <w:t>Persistent absenteeism is currently at 24.4%, with 36.6% of disadvantaged students falling into this category compared to 18.1% of non-disadvantaged students. 8.8% of disadvantaged students had attendance between 86.0 - 89.9%.  Had these students achieved 90% attendance, the persistent absenteeism for disadvantaged students would have been in line with non-disadvantaged.  The introduction of a personal Fir</w:t>
            </w:r>
            <w:r w:rsidR="003B796F" w:rsidRPr="00EE26AB">
              <w:rPr>
                <w:rFonts w:ascii="Arial" w:eastAsia="Arial" w:hAnsi="Arial" w:cs="Arial"/>
                <w:sz w:val="20"/>
              </w:rPr>
              <w:t>st Day Absence Call List saw 104</w:t>
            </w:r>
            <w:r w:rsidRPr="00EE26AB">
              <w:rPr>
                <w:rFonts w:ascii="Arial" w:eastAsia="Arial" w:hAnsi="Arial" w:cs="Arial"/>
                <w:sz w:val="20"/>
              </w:rPr>
              <w:t xml:space="preserve"> students with attendance under 90% receive a call on the first day that they are absent from sch</w:t>
            </w:r>
            <w:r w:rsidR="003B796F" w:rsidRPr="00EE26AB">
              <w:rPr>
                <w:rFonts w:ascii="Arial" w:eastAsia="Arial" w:hAnsi="Arial" w:cs="Arial"/>
                <w:sz w:val="20"/>
              </w:rPr>
              <w:t>ool.  The introduction of target students in January 2023, with AMs and YTLs focusing on students with 87.0 – 89.9% was impactful.  Of these 104 students, 80.8% saw an increase in attendance, 62.5% moved out of PA. Of the students that moved out of PA, 55.4% were PP students.</w:t>
            </w:r>
          </w:p>
          <w:p w:rsidR="00837038" w:rsidRPr="00EE26AB" w:rsidRDefault="00837038">
            <w:pPr>
              <w:pBdr>
                <w:top w:val="nil"/>
                <w:left w:val="nil"/>
                <w:bottom w:val="nil"/>
                <w:right w:val="nil"/>
                <w:between w:val="nil"/>
              </w:pBdr>
              <w:spacing w:before="60" w:after="60" w:line="276" w:lineRule="auto"/>
              <w:rPr>
                <w:rFonts w:ascii="Arial" w:eastAsia="Arial" w:hAnsi="Arial" w:cs="Arial"/>
                <w:sz w:val="18"/>
                <w:szCs w:val="20"/>
              </w:rPr>
            </w:pPr>
          </w:p>
          <w:p w:rsidR="00837038" w:rsidRPr="00EE26AB" w:rsidRDefault="003F6A21">
            <w:pPr>
              <w:spacing w:before="60" w:after="60" w:line="276" w:lineRule="auto"/>
              <w:ind w:right="57"/>
              <w:rPr>
                <w:rFonts w:ascii="Arial" w:eastAsia="Arial" w:hAnsi="Arial" w:cs="Arial"/>
                <w:b/>
                <w:sz w:val="20"/>
              </w:rPr>
            </w:pPr>
            <w:r w:rsidRPr="00EE26AB">
              <w:rPr>
                <w:rFonts w:ascii="Arial" w:eastAsia="Arial" w:hAnsi="Arial" w:cs="Arial"/>
                <w:b/>
                <w:sz w:val="20"/>
              </w:rPr>
              <w:t xml:space="preserve">To raise the aspirations of all students, particularly amongst disadvantaged students to ensure they are aware of the opportunities available to them. </w:t>
            </w:r>
          </w:p>
          <w:p w:rsidR="00837038" w:rsidRPr="00EE26AB" w:rsidRDefault="003F6A21">
            <w:pPr>
              <w:spacing w:before="60" w:after="60" w:line="276" w:lineRule="auto"/>
              <w:ind w:right="57"/>
              <w:rPr>
                <w:rFonts w:ascii="Arial" w:eastAsia="Arial" w:hAnsi="Arial" w:cs="Arial"/>
                <w:sz w:val="20"/>
              </w:rPr>
            </w:pPr>
            <w:r w:rsidRPr="00EE26AB">
              <w:rPr>
                <w:rFonts w:ascii="Arial" w:eastAsia="Arial" w:hAnsi="Arial" w:cs="Arial"/>
                <w:sz w:val="20"/>
              </w:rPr>
              <w:t xml:space="preserve">The introduction of </w:t>
            </w:r>
            <w:proofErr w:type="spellStart"/>
            <w:r w:rsidRPr="00EE26AB">
              <w:rPr>
                <w:rFonts w:ascii="Arial" w:eastAsia="Arial" w:hAnsi="Arial" w:cs="Arial"/>
                <w:sz w:val="20"/>
              </w:rPr>
              <w:t>Unifrog</w:t>
            </w:r>
            <w:proofErr w:type="spellEnd"/>
            <w:r w:rsidRPr="00EE26AB">
              <w:rPr>
                <w:rFonts w:ascii="Arial" w:eastAsia="Arial" w:hAnsi="Arial" w:cs="Arial"/>
                <w:sz w:val="20"/>
              </w:rPr>
              <w:t xml:space="preserve"> in September 2021 has enabled all students to complete a range of tasks and log interactions and activities.  Since Sept</w:t>
            </w:r>
            <w:r w:rsidR="00A42298" w:rsidRPr="00EE26AB">
              <w:rPr>
                <w:rFonts w:ascii="Arial" w:eastAsia="Arial" w:hAnsi="Arial" w:cs="Arial"/>
                <w:sz w:val="20"/>
              </w:rPr>
              <w:t>ember 2023</w:t>
            </w:r>
            <w:r w:rsidRPr="00EE26AB">
              <w:rPr>
                <w:rFonts w:ascii="Arial" w:eastAsia="Arial" w:hAnsi="Arial" w:cs="Arial"/>
                <w:sz w:val="20"/>
              </w:rPr>
              <w:t xml:space="preserve">, 93.4% of students have logged on to </w:t>
            </w:r>
            <w:proofErr w:type="spellStart"/>
            <w:r w:rsidRPr="00EE26AB">
              <w:rPr>
                <w:rFonts w:ascii="Arial" w:eastAsia="Arial" w:hAnsi="Arial" w:cs="Arial"/>
                <w:sz w:val="20"/>
              </w:rPr>
              <w:t>Unifrog</w:t>
            </w:r>
            <w:proofErr w:type="spellEnd"/>
            <w:r w:rsidRPr="00EE26AB">
              <w:rPr>
                <w:rFonts w:ascii="Arial" w:eastAsia="Arial" w:hAnsi="Arial" w:cs="Arial"/>
                <w:sz w:val="20"/>
              </w:rPr>
              <w:t xml:space="preserve">, with over 90% in Years 7, 8, 11 and 12 and therefore had access to a range of career focused information.  99.1% of students have had an interaction logged since September, with interactions including virtual talks, guest speakers, and encounters with employers or Higher Education.  100% of disadvantaged students have had at least one meaningful experience to raise aspirations. In addition, 100% of disadvantaged students in Years 9 - 11 have had a 1-1 careers focused meeting with a member of staff; 97.4% of disadvantaged Year 11 students have had an interview with an independent </w:t>
            </w:r>
            <w:r w:rsidRPr="00EE26AB">
              <w:rPr>
                <w:rFonts w:ascii="Arial" w:eastAsia="Arial" w:hAnsi="Arial" w:cs="Arial"/>
                <w:sz w:val="20"/>
              </w:rPr>
              <w:lastRenderedPageBreak/>
              <w:t>careers advisor; 95.6% of disadvantages Year 12 students have had an interview with an independent careers advisor and 97.2% of disadvantaged Year 13 students.</w:t>
            </w:r>
          </w:p>
          <w:p w:rsidR="00837038" w:rsidRPr="00EE26AB" w:rsidRDefault="00837038">
            <w:pPr>
              <w:spacing w:before="60" w:after="60" w:line="276" w:lineRule="auto"/>
              <w:ind w:right="57"/>
              <w:rPr>
                <w:rFonts w:ascii="Arial" w:eastAsia="Arial" w:hAnsi="Arial" w:cs="Arial"/>
                <w:sz w:val="20"/>
              </w:rPr>
            </w:pPr>
          </w:p>
          <w:p w:rsidR="00837038" w:rsidRPr="00EE26AB" w:rsidRDefault="003F6A21">
            <w:pPr>
              <w:spacing w:before="40" w:after="40" w:line="276" w:lineRule="auto"/>
              <w:rPr>
                <w:rFonts w:ascii="Arial" w:eastAsia="Arial" w:hAnsi="Arial" w:cs="Arial"/>
                <w:szCs w:val="24"/>
              </w:rPr>
            </w:pPr>
            <w:r w:rsidRPr="00EE26AB">
              <w:rPr>
                <w:rFonts w:ascii="Arial" w:eastAsia="Arial" w:hAnsi="Arial" w:cs="Arial"/>
                <w:b/>
                <w:sz w:val="20"/>
              </w:rPr>
              <w:t xml:space="preserve">To achieve sustained improvement in behaviour for all students, particularly leading to reducing incidents and suspensions for disadvantaged students without lowering the high expectations we have of students at Park Academy. </w:t>
            </w:r>
          </w:p>
          <w:p w:rsidR="00837038" w:rsidRPr="00EE26AB" w:rsidRDefault="00837038">
            <w:pPr>
              <w:spacing w:before="40" w:after="40"/>
              <w:rPr>
                <w:rFonts w:ascii="Arial" w:eastAsia="Arial" w:hAnsi="Arial" w:cs="Arial"/>
                <w:szCs w:val="24"/>
              </w:rPr>
            </w:pPr>
          </w:p>
          <w:p w:rsidR="00837038" w:rsidRPr="00EE26AB" w:rsidRDefault="003F6A21">
            <w:pPr>
              <w:spacing w:before="40" w:after="40"/>
              <w:rPr>
                <w:rFonts w:ascii="Arial" w:eastAsia="Arial" w:hAnsi="Arial" w:cs="Arial"/>
                <w:b/>
                <w:sz w:val="18"/>
                <w:szCs w:val="20"/>
              </w:rPr>
            </w:pPr>
            <w:r w:rsidRPr="00EE26AB">
              <w:rPr>
                <w:rFonts w:ascii="Arial" w:eastAsia="Arial" w:hAnsi="Arial" w:cs="Arial"/>
                <w:sz w:val="20"/>
              </w:rPr>
              <w:t>78 disadvantaged students accessed Pastoral support and interventi</w:t>
            </w:r>
            <w:r w:rsidR="003B796F" w:rsidRPr="00EE26AB">
              <w:rPr>
                <w:rFonts w:ascii="Arial" w:eastAsia="Arial" w:hAnsi="Arial" w:cs="Arial"/>
                <w:sz w:val="20"/>
              </w:rPr>
              <w:t>on during the academic year 2022 - 2023</w:t>
            </w:r>
            <w:r w:rsidRPr="00EE26AB">
              <w:rPr>
                <w:rFonts w:ascii="Arial" w:eastAsia="Arial" w:hAnsi="Arial" w:cs="Arial"/>
                <w:sz w:val="20"/>
              </w:rPr>
              <w:t xml:space="preserve">. </w:t>
            </w:r>
          </w:p>
          <w:p w:rsidR="00837038" w:rsidRPr="00EE26AB" w:rsidRDefault="00837038">
            <w:pPr>
              <w:spacing w:before="40" w:after="40" w:line="276" w:lineRule="auto"/>
              <w:rPr>
                <w:rFonts w:ascii="Arial" w:eastAsia="Arial" w:hAnsi="Arial" w:cs="Arial"/>
                <w:b/>
                <w:sz w:val="20"/>
              </w:rPr>
            </w:pPr>
          </w:p>
          <w:p w:rsidR="00837038" w:rsidRPr="00EE26AB" w:rsidRDefault="003F6A21">
            <w:pPr>
              <w:spacing w:before="60" w:after="60" w:line="276" w:lineRule="auto"/>
              <w:ind w:right="57"/>
              <w:rPr>
                <w:rFonts w:ascii="Arial" w:eastAsia="Arial" w:hAnsi="Arial" w:cs="Arial"/>
                <w:b/>
                <w:sz w:val="20"/>
              </w:rPr>
            </w:pPr>
            <w:r w:rsidRPr="00EE26AB">
              <w:rPr>
                <w:rFonts w:ascii="Arial" w:eastAsia="Arial" w:hAnsi="Arial" w:cs="Arial"/>
                <w:b/>
                <w:sz w:val="20"/>
              </w:rPr>
              <w:t>Improve disadvantaged students’ wellbeing and increased participation in a wide range of enrichment activities offered at Park Academy. Students should be able to participate fully in academy life without the barrier of finance.</w:t>
            </w:r>
          </w:p>
          <w:p w:rsidR="00837038" w:rsidRPr="00EE26AB" w:rsidRDefault="003F6A21">
            <w:pPr>
              <w:spacing w:before="60" w:after="60" w:line="276" w:lineRule="auto"/>
              <w:ind w:right="57"/>
              <w:rPr>
                <w:rFonts w:ascii="Arial" w:eastAsia="Arial" w:hAnsi="Arial" w:cs="Arial"/>
                <w:sz w:val="20"/>
                <w:highlight w:val="yellow"/>
              </w:rPr>
            </w:pPr>
            <w:r w:rsidRPr="00EE26AB">
              <w:rPr>
                <w:rFonts w:ascii="Arial" w:eastAsia="Arial" w:hAnsi="Arial" w:cs="Arial"/>
                <w:sz w:val="20"/>
              </w:rPr>
              <w:t xml:space="preserve">All students have enjoyed a fuller enrichment programme this year, with 41.6% of disadvantaged students participating in at least one enrichment activity, compared to 38.3% of non-disadvantaged students (0.4% gap).  44.3% of disadvantaged students have participated in at least three enrichment activities, compared to 47.1% of non-disadvantaged students (2.8% gap).  Funding has been used to support disadvantaged students accessing such opportunities including the Science Museum and Pantomime (Year 7) and Thorpe Park (Year 9). </w:t>
            </w:r>
          </w:p>
          <w:p w:rsidR="00837038" w:rsidRPr="00EE26AB" w:rsidRDefault="00837038">
            <w:pPr>
              <w:spacing w:before="60" w:after="60" w:line="276" w:lineRule="auto"/>
              <w:ind w:right="57"/>
              <w:rPr>
                <w:rFonts w:ascii="Arial" w:eastAsia="Arial" w:hAnsi="Arial" w:cs="Arial"/>
                <w:sz w:val="20"/>
              </w:rPr>
            </w:pPr>
          </w:p>
          <w:p w:rsidR="00837038" w:rsidRPr="00A42298" w:rsidRDefault="003F6A21" w:rsidP="00A42298">
            <w:pPr>
              <w:spacing w:before="60" w:after="60" w:line="276" w:lineRule="auto"/>
              <w:ind w:right="57"/>
              <w:rPr>
                <w:rFonts w:ascii="Arial" w:eastAsia="Arial" w:hAnsi="Arial" w:cs="Arial"/>
              </w:rPr>
            </w:pPr>
            <w:r w:rsidRPr="00EE26AB">
              <w:rPr>
                <w:rFonts w:ascii="Arial" w:eastAsia="Arial" w:hAnsi="Arial" w:cs="Arial"/>
                <w:sz w:val="20"/>
              </w:rPr>
              <w:t>A broader extracurricular provision this year has seen increased attendance throughout all year groups. The gap between attendance at extracurricular clubs between disadvantaged and non-disadvantaged students is 1.2% (40.1% v 41.3%), but with a developing programme using student voice feedback, we would expect this to develop further over the next academic year.</w:t>
            </w:r>
          </w:p>
        </w:tc>
      </w:tr>
    </w:tbl>
    <w:p w:rsidR="00837038" w:rsidRDefault="003F6A21">
      <w:pPr>
        <w:pStyle w:val="Heading2"/>
        <w:spacing w:before="600"/>
        <w:rPr>
          <w:rFonts w:ascii="Arial" w:eastAsia="Arial" w:hAnsi="Arial" w:cs="Arial"/>
        </w:rPr>
      </w:pPr>
      <w:r>
        <w:rPr>
          <w:rFonts w:ascii="Arial" w:eastAsia="Arial" w:hAnsi="Arial" w:cs="Arial"/>
        </w:rPr>
        <w:lastRenderedPageBreak/>
        <w:t>Externally provided programmes</w:t>
      </w:r>
    </w:p>
    <w:p w:rsidR="00837038" w:rsidRDefault="003F6A21">
      <w:pPr>
        <w:rPr>
          <w:rFonts w:ascii="Arial" w:eastAsia="Arial" w:hAnsi="Arial" w:cs="Arial"/>
          <w:i/>
        </w:rPr>
      </w:pPr>
      <w:r>
        <w:rPr>
          <w:rFonts w:ascii="Arial" w:eastAsia="Arial" w:hAnsi="Arial" w:cs="Arial"/>
          <w:i/>
        </w:rPr>
        <w:t>Please include the names of any non-</w:t>
      </w:r>
      <w:proofErr w:type="spellStart"/>
      <w:r>
        <w:rPr>
          <w:rFonts w:ascii="Arial" w:eastAsia="Arial" w:hAnsi="Arial" w:cs="Arial"/>
          <w:i/>
        </w:rPr>
        <w:t>DfE</w:t>
      </w:r>
      <w:proofErr w:type="spellEnd"/>
      <w:r>
        <w:rPr>
          <w:rFonts w:ascii="Arial" w:eastAsia="Arial" w:hAnsi="Arial" w:cs="Arial"/>
          <w:i/>
        </w:rPr>
        <w:t xml:space="preserve"> programmes that you purchased in the previous academic year. This will help the Department for Education identify which ones are popular in England</w:t>
      </w:r>
    </w:p>
    <w:tbl>
      <w:tblPr>
        <w:tblStyle w:val="aff6"/>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1"/>
      </w:tblGrid>
      <w:tr w:rsidR="0083703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b/>
              </w:rPr>
            </w:pPr>
            <w:r>
              <w:rPr>
                <w:rFonts w:ascii="Arial" w:eastAsia="Arial" w:hAnsi="Arial" w:cs="Arial"/>
                <w:b/>
              </w:rPr>
              <w:t>Provider</w:t>
            </w: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r>
              <w:rPr>
                <w:rFonts w:ascii="Arial" w:eastAsia="Arial" w:hAnsi="Arial" w:cs="Arial"/>
              </w:rPr>
              <w:t>NTP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837038">
            <w:pPr>
              <w:pBdr>
                <w:top w:val="nil"/>
                <w:left w:val="nil"/>
                <w:bottom w:val="nil"/>
                <w:right w:val="nil"/>
                <w:between w:val="nil"/>
              </w:pBdr>
              <w:spacing w:before="60" w:after="60"/>
              <w:ind w:left="57" w:right="57"/>
              <w:rPr>
                <w:rFonts w:ascii="Arial" w:eastAsia="Arial" w:hAnsi="Arial" w:cs="Arial"/>
              </w:rPr>
            </w:pPr>
          </w:p>
        </w:tc>
      </w:tr>
      <w:tr w:rsidR="0083703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3F6A21">
            <w:pPr>
              <w:pBdr>
                <w:top w:val="nil"/>
                <w:left w:val="nil"/>
                <w:bottom w:val="nil"/>
                <w:right w:val="nil"/>
                <w:between w:val="nil"/>
              </w:pBdr>
              <w:spacing w:before="60" w:after="60"/>
              <w:ind w:left="57" w:right="57"/>
              <w:rPr>
                <w:rFonts w:ascii="Arial" w:eastAsia="Arial" w:hAnsi="Arial" w:cs="Arial"/>
              </w:rPr>
            </w:pPr>
            <w:proofErr w:type="spellStart"/>
            <w:r>
              <w:rPr>
                <w:rFonts w:ascii="Arial" w:eastAsia="Arial" w:hAnsi="Arial" w:cs="Arial"/>
              </w:rPr>
              <w:t>Lexia</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038" w:rsidRDefault="00837038">
            <w:pPr>
              <w:pBdr>
                <w:top w:val="nil"/>
                <w:left w:val="nil"/>
                <w:bottom w:val="nil"/>
                <w:right w:val="nil"/>
                <w:between w:val="nil"/>
              </w:pBdr>
              <w:spacing w:before="60" w:after="60"/>
              <w:ind w:left="57" w:right="57"/>
              <w:rPr>
                <w:rFonts w:ascii="Arial" w:eastAsia="Arial" w:hAnsi="Arial" w:cs="Arial"/>
              </w:rPr>
            </w:pPr>
          </w:p>
        </w:tc>
      </w:tr>
    </w:tbl>
    <w:p w:rsidR="00837038" w:rsidRDefault="00837038">
      <w:pPr>
        <w:rPr>
          <w:rFonts w:ascii="Arial" w:eastAsia="Arial" w:hAnsi="Arial" w:cs="Arial"/>
        </w:rPr>
      </w:pPr>
    </w:p>
    <w:sectPr w:rsidR="00837038" w:rsidSect="0030236C">
      <w:headerReference w:type="default" r:id="rId43"/>
      <w:pgSz w:w="11906" w:h="16838"/>
      <w:pgMar w:top="426" w:right="1276" w:bottom="90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6B" w:rsidRDefault="0070056B">
      <w:r>
        <w:separator/>
      </w:r>
    </w:p>
  </w:endnote>
  <w:endnote w:type="continuationSeparator" w:id="0">
    <w:p w:rsidR="0070056B" w:rsidRDefault="0070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6B" w:rsidRDefault="0070056B">
      <w:r>
        <w:separator/>
      </w:r>
    </w:p>
  </w:footnote>
  <w:footnote w:type="continuationSeparator" w:id="0">
    <w:p w:rsidR="0070056B" w:rsidRDefault="00700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38" w:rsidRDefault="00837038">
    <w:pPr>
      <w:pBdr>
        <w:top w:val="nil"/>
        <w:left w:val="nil"/>
        <w:bottom w:val="nil"/>
        <w:right w:val="nil"/>
        <w:between w:val="nil"/>
      </w:pBdr>
      <w:tabs>
        <w:tab w:val="center" w:pos="4513"/>
        <w:tab w:val="right" w:pos="9026"/>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7F1"/>
    <w:multiLevelType w:val="multilevel"/>
    <w:tmpl w:val="2AEE7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E2ED3"/>
    <w:multiLevelType w:val="multilevel"/>
    <w:tmpl w:val="0538A8B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0D1B6879"/>
    <w:multiLevelType w:val="multilevel"/>
    <w:tmpl w:val="619649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EF4F1D"/>
    <w:multiLevelType w:val="multilevel"/>
    <w:tmpl w:val="A436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871E8"/>
    <w:multiLevelType w:val="multilevel"/>
    <w:tmpl w:val="2364341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539D79DE"/>
    <w:multiLevelType w:val="multilevel"/>
    <w:tmpl w:val="2BBE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047EBE"/>
    <w:multiLevelType w:val="multilevel"/>
    <w:tmpl w:val="2AF41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8"/>
    <w:rsid w:val="0030236C"/>
    <w:rsid w:val="003B796F"/>
    <w:rsid w:val="003F6A21"/>
    <w:rsid w:val="005444E2"/>
    <w:rsid w:val="0070056B"/>
    <w:rsid w:val="007405ED"/>
    <w:rsid w:val="007603BF"/>
    <w:rsid w:val="007C0639"/>
    <w:rsid w:val="00837038"/>
    <w:rsid w:val="00A42298"/>
    <w:rsid w:val="00AD0A91"/>
    <w:rsid w:val="00BC2C2A"/>
    <w:rsid w:val="00D42445"/>
    <w:rsid w:val="00E20DB0"/>
    <w:rsid w:val="00EE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859B"/>
  <w15:docId w15:val="{AE7D19E6-955A-450D-BC23-68AF8402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color w:val="104F75"/>
      <w:sz w:val="36"/>
      <w:szCs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Normal"/>
    <w:next w:val="Normal"/>
    <w:uiPriority w:val="9"/>
    <w:unhideWhenUsed/>
    <w:qFormat/>
    <w:pPr>
      <w:keepNext/>
      <w:spacing w:before="360"/>
      <w:outlineLvl w:val="2"/>
    </w:pPr>
    <w:rPr>
      <w:b/>
      <w:color w:val="104F75"/>
      <w:sz w:val="28"/>
      <w:szCs w:val="28"/>
    </w:rPr>
  </w:style>
  <w:style w:type="paragraph" w:styleId="Heading4">
    <w:name w:val="heading 4"/>
    <w:basedOn w:val="Normal"/>
    <w:next w:val="Normal"/>
    <w:uiPriority w:val="9"/>
    <w:semiHidden/>
    <w:unhideWhenUsed/>
    <w:qFormat/>
    <w:pPr>
      <w:keepNext/>
      <w:spacing w:before="240"/>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pPr>
    <w:rPr>
      <w:b/>
      <w:color w:val="104F75"/>
      <w:sz w:val="96"/>
      <w:szCs w:val="96"/>
    </w:rPr>
  </w:style>
  <w:style w:type="paragraph" w:styleId="Subtitle">
    <w:name w:val="Subtitle"/>
    <w:basedOn w:val="Normal"/>
    <w:next w:val="Normal"/>
    <w:pPr>
      <w:widowControl w:val="0"/>
      <w:spacing w:after="60"/>
      <w:jc w:val="center"/>
    </w:pPr>
    <w:rPr>
      <w:i/>
      <w:color w:val="000000"/>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paragraph" w:styleId="NormalWeb">
    <w:name w:val="Normal (Web)"/>
    <w:basedOn w:val="Normal"/>
    <w:uiPriority w:val="99"/>
    <w:unhideWhenUsed/>
    <w:pPr>
      <w:spacing w:before="100" w:beforeAutospacing="1" w:after="100" w:afterAutospacing="1"/>
    </w:pPr>
  </w:style>
  <w:style w:type="table" w:customStyle="1" w:styleId="ac">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1">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2">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3">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4">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5">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 w:type="table" w:customStyle="1" w:styleId="aff6">
    <w:basedOn w:val="TableNormal"/>
    <w:rPr>
      <w:rFonts w:ascii="Calibri" w:eastAsia="Calibri" w:hAnsi="Calibri" w:cs="Calibri"/>
      <w:sz w:val="22"/>
      <w:szCs w:val="22"/>
    </w:rPr>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parental-engagement" TargetMode="External"/><Relationship Id="rId18" Type="http://schemas.openxmlformats.org/officeDocument/2006/relationships/hyperlink" Target="https://educationendowmentfoundation.org.uk/education-evidence/teaching-learning-toolkit/homework" TargetMode="External"/><Relationship Id="rId26" Type="http://schemas.openxmlformats.org/officeDocument/2006/relationships/hyperlink" Target="https://reports.gl-assessment.co.uk/whyreading/" TargetMode="External"/><Relationship Id="rId39" Type="http://schemas.openxmlformats.org/officeDocument/2006/relationships/hyperlink" Target="https://www.gov.uk/government/publications/absence-and-attainment-at-key-stages-2-and-4-2013-to-2014" TargetMode="External"/><Relationship Id="rId21" Type="http://schemas.openxmlformats.org/officeDocument/2006/relationships/hyperlink" Target="https://educationendowmentfoundation.org.uk/education-evidence/teaching-learning-toolkit/metacognition-and-self-regulation" TargetMode="External"/><Relationship Id="rId34" Type="http://schemas.openxmlformats.org/officeDocument/2006/relationships/hyperlink" Target="https://educationendowmentfoundation.org.uk/education-evidence/teaching-learning-toolkit/small-group-tuition" TargetMode="External"/><Relationship Id="rId42" Type="http://schemas.openxmlformats.org/officeDocument/2006/relationships/hyperlink" Target="https://educationendowmentfoundation.org.uk/education-evidence/teaching-learning-toolkit/parental-engagemen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eacherhead.com/2022/06/15/five-ways-to-secure-progress-through-modelling/" TargetMode="External"/><Relationship Id="rId29" Type="http://schemas.openxmlformats.org/officeDocument/2006/relationships/hyperlink" Target="https://www.dret.co.uk/DRET-Rea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behaviour-interventions" TargetMode="External"/><Relationship Id="rId24" Type="http://schemas.openxmlformats.org/officeDocument/2006/relationships/hyperlink" Target="https://assets.publishing.service.gov.uk/government/uploads/system/uploads/attachment_data/file/284286/reading_for_pleasure.pdf" TargetMode="External"/><Relationship Id="rId32" Type="http://schemas.openxmlformats.org/officeDocument/2006/relationships/hyperlink" Target="https://blog.nomoremarking.com/progress-in-2020-21-a-summary-of-our-assessments-so-far-f32e42add6f0" TargetMode="External"/><Relationship Id="rId37" Type="http://schemas.openxmlformats.org/officeDocument/2006/relationships/hyperlink" Target="https://educationendowmentfoundation.org.uk/education-evidence/guidance-reports/behaviour" TargetMode="External"/><Relationship Id="rId40" Type="http://schemas.openxmlformats.org/officeDocument/2006/relationships/hyperlink" Target="https://www.sec-ed.co.uk/best-practice/curriculum-design-and-delivery-part-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endowmentfoundation.org.uk/" TargetMode="External"/><Relationship Id="rId23" Type="http://schemas.openxmlformats.org/officeDocument/2006/relationships/hyperlink" Target="https://readingagency.org.uk/news/The%20Impact%20of%20Reading%20for%20Pleasure%20and%20Empowerment.pdf" TargetMode="External"/><Relationship Id="rId28" Type="http://schemas.openxmlformats.org/officeDocument/2006/relationships/hyperlink" Target="https://journals.sagepub.com/doi/10.1177/074193258600700104" TargetMode="External"/><Relationship Id="rId36" Type="http://schemas.openxmlformats.org/officeDocument/2006/relationships/hyperlink" Target="https://educationendowmentfoundation.org.uk/education-evidence/teaching-learning-toolkit/mentoring" TargetMode="External"/><Relationship Id="rId10" Type="http://schemas.openxmlformats.org/officeDocument/2006/relationships/hyperlink" Target="https://www.suttontrust.com/wp-content/uploads/2019/12/2teachers-impact-report-final-1.pdf" TargetMode="External"/><Relationship Id="rId19" Type="http://schemas.openxmlformats.org/officeDocument/2006/relationships/hyperlink" Target="https://educationendowmentfoundation.org.uk/education-evidence/teaching-learning-toolkit/individualised-instruction" TargetMode="External"/><Relationship Id="rId31" Type="http://schemas.openxmlformats.org/officeDocument/2006/relationships/hyperlink" Target="https://epi.org.uk/publications-and-research/education-in-england-annual-report-2020/"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473974/DFE-RR411_Supporting_the_attainment_of_disadvantaged_pupils.pdf" TargetMode="External"/><Relationship Id="rId14" Type="http://schemas.openxmlformats.org/officeDocument/2006/relationships/hyperlink" Target="https://educationendowmentfoundation.org.uk/education-evidence/guidance-reports/literacy-ks3-ks4" TargetMode="External"/><Relationship Id="rId22" Type="http://schemas.openxmlformats.org/officeDocument/2006/relationships/hyperlink" Target="https://educationendowmentfoundation.org.uk/education-evidence/teaching-learning-toolkit/aspiration-interventions" TargetMode="External"/><Relationship Id="rId27" Type="http://schemas.openxmlformats.org/officeDocument/2006/relationships/hyperlink" Target="https://literacytrust.org.uk/research-services/research-reports/children-and-young-peoples-reading-engagement-in-2022/" TargetMode="External"/><Relationship Id="rId30" Type="http://schemas.openxmlformats.org/officeDocument/2006/relationships/hyperlink" Target="https://epi.org.uk/publications-and-research/education-in-england-annual-report-2020/" TargetMode="External"/><Relationship Id="rId35" Type="http://schemas.openxmlformats.org/officeDocument/2006/relationships/hyperlink" Target="https://www.family-action.org.uk/our-voices/2019/10/04/the-impact-of-breakfast-on-learning-in-children/"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ducationendowmentfoundation.org.uk/education-evidence/teaching-learning-toolkit/feedback" TargetMode="External"/><Relationship Id="rId17" Type="http://schemas.openxmlformats.org/officeDocument/2006/relationships/hyperlink" Target="https://teacherhead.com/about/" TargetMode="External"/><Relationship Id="rId25" Type="http://schemas.openxmlformats.org/officeDocument/2006/relationships/hyperlink" Target="https://researchschool.org.uk/greenshaw/news/the-challenge-of-developing-reading-at-secondary-school" TargetMode="External"/><Relationship Id="rId33" Type="http://schemas.openxmlformats.org/officeDocument/2006/relationships/hyperlink" Target="https://medium.com/@daisy_92426?source=user_profile-------------------------------------" TargetMode="External"/><Relationship Id="rId38"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hyperlink" Target="https://educationendowmentfoundation.org.uk/education-evidence/teaching-learning-toolkit/teaching-assistant-interventions" TargetMode="External"/><Relationship Id="rId41" Type="http://schemas.openxmlformats.org/officeDocument/2006/relationships/hyperlink" Target="https://www.gov.uk/government/publications/pupil-premium/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11HUWGCVbJ3EF5y/hsyEZWNwbg==">CgMxLjAyCWguMmV0OTJwMDIIaC5namRneHMyCWguMzBqMHpsbDIJaC4xZm9iOXRlMgloLjN6bnlzaDc4AHIhMVd6U3BGbXlIcHdFXzRCSVNteFkwMFd5d0ZLX2k5b0VS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3387E-8060-44DD-BB51-0DDB2308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dc:creator>
  <cp:lastModifiedBy>Suvi</cp:lastModifiedBy>
  <cp:revision>2</cp:revision>
  <dcterms:created xsi:type="dcterms:W3CDTF">2023-09-24T20:19:00Z</dcterms:created>
  <dcterms:modified xsi:type="dcterms:W3CDTF">2023-09-24T20:19:00Z</dcterms:modified>
</cp:coreProperties>
</file>